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MAS (Masco Corporation) to build an earnings preview. Let me start by gathering recent filings, earnings materials, and news.I'll read the most recent earnings materials (Q1 2026) and the prior-year Q2 to understand seasonality and trends.Now let me get the prior-year Q2 2025 results for comparison, recent news, stock price performance, and check for the May 2026 Investor Day.Let me read the May 2026 Investor Day for long-term targets and check recent sector news.Let me get recent housing/R&amp;R macro context and any recent analyst/insider activity.I have what I need. Here's my earnings preview.</w:t>
      </w:r>
    </w:p>
    <w:p>
      <w:r>
        <w:pict>
          <v:rect style="width:0;height:1.5pt" o:hralign="center" o:hrstd="t" o:hr="t"/>
        </w:pict>
      </w:r>
    </w:p>
    <w:bookmarkStart w:id="17" w:name="masco-mas--q2-2026-earnings-preview"/>
    <w:p>
      <w:pPr>
        <w:pStyle w:val="Heading1"/>
      </w:pPr>
      <w:r>
        <w:t xml:space="preserve">Masco (MAS) — Q2 2026 Earnings Preview</w:t>
      </w:r>
    </w:p>
    <w:bookmarkStart w:id="9" w:name="X444826fd3d0507a850235968811133795ca3fd2"/>
    <w:p>
      <w:pPr>
        <w:pStyle w:val="Heading3"/>
      </w:pPr>
      <w:r>
        <w:t xml:space="preserve">Reports before market open, Wednesday, July 29, 2026 (2026Q2 Earnings Call)</w:t>
      </w:r>
    </w:p>
    <w:bookmarkEnd w:id="9"/>
    <w:bookmarkStart w:id="10" w:name="the-one-liner"/>
    <w:p>
      <w:pPr>
        <w:pStyle w:val="Heading2"/>
      </w:pPr>
      <w:r>
        <w:t xml:space="preserve">The one-liner</w:t>
      </w:r>
    </w:p>
    <w:p>
      <w:pPr>
        <w:pStyle w:val="FirstParagraph"/>
      </w:pPr>
      <w:r>
        <w:t xml:space="preserve">Masco heads into Q2 with genuine momentum — Q1 was its best volume quarter since the pandemic and it</w:t>
      </w:r>
      <w:r>
        <w:t xml:space="preserve"> </w:t>
      </w:r>
      <w:r>
        <w:rPr>
          <w:i/>
          <w:iCs/>
        </w:rPr>
        <w:t xml:space="preserve">raised</w:t>
      </w:r>
      <w:r>
        <w:t xml:space="preserve"> </w:t>
      </w:r>
      <w:r>
        <w:t xml:space="preserve">the low end of its full-year sales outlook — but the stock is up ~27% YTD and sitting near its highs, so the bar is higher than it's been in a while. The debate this quarter is less about the print and more about</w:t>
      </w:r>
      <w:r>
        <w:t xml:space="preserve"> </w:t>
      </w:r>
      <w:r>
        <w:rPr>
          <w:b/>
          <w:bCs/>
        </w:rPr>
        <w:t xml:space="preserve">(1) whether Q1's surprising plumbing volume/share gains are durable, and (2) how much the back-half commodity headwind (copper, oil/resins) will bite</w:t>
      </w:r>
      <w:r>
        <w:t xml:space="preserve"> </w:t>
      </w:r>
      <w:r>
        <w:t xml:space="preserve">as tariff relief and cost inflation collide.</w:t>
      </w:r>
    </w:p>
    <w:p>
      <w:r>
        <w:pict>
          <v:rect style="width:0;height:1.5pt" o:hralign="center" o:hrstd="t" o:hr="t"/>
        </w:pict>
      </w:r>
    </w:p>
    <w:bookmarkEnd w:id="10"/>
    <w:bookmarkStart w:id="11" w:name="setup--stock-context"/>
    <w:p>
      <w:pPr>
        <w:pStyle w:val="Heading2"/>
      </w:pPr>
      <w:r>
        <w:t xml:space="preserve">Setup &amp; stock context</w:t>
      </w:r>
    </w:p>
    <w:p>
      <w:pPr>
        <w:pStyle w:val="Compact"/>
        <w:numPr>
          <w:ilvl w:val="0"/>
          <w:numId w:val="1001"/>
        </w:numPr>
      </w:pPr>
      <w:r>
        <w:rPr>
          <w:b/>
          <w:bCs/>
        </w:rPr>
        <w:t xml:space="preserve">Price into the print:</w:t>
      </w:r>
      <w:r>
        <w:t xml:space="preserve"> </w:t>
      </w:r>
      <w:r>
        <w:t xml:space="preserve">~</w:t>
      </w:r>
      <m:oMath>
        <m:r>
          <m:t>81.63</m:t>
        </m:r>
        <m:r>
          <m:rPr>
            <m:sty m:val="p"/>
          </m:rPr>
          <m:t>(</m:t>
        </m:r>
        <m:r>
          <m:t>J</m:t>
        </m:r>
        <m:r>
          <m:t>u</m:t>
        </m:r>
        <m:r>
          <m:t>l</m:t>
        </m:r>
        <m:r>
          <m:t>y</m:t>
        </m:r>
        <m:r>
          <m:t>28</m:t>
        </m:r>
        <m:r>
          <m:rPr>
            <m:sty m:val="p"/>
          </m:rPr>
          <m:t>)</m:t>
        </m:r>
        <m:r>
          <m:rPr>
            <m:sty m:val="p"/>
          </m:rPr>
          <m:t>,</m:t>
        </m:r>
        <m:r>
          <m:t>u</m:t>
        </m:r>
        <m:r>
          <m:t>p</m:t>
        </m:r>
        <m:r>
          <m:t>f</m:t>
        </m:r>
        <m:r>
          <m:t>r</m:t>
        </m:r>
        <m:r>
          <m:t>o</m:t>
        </m:r>
        <m:r>
          <m:t>m</m:t>
        </m:r>
        <m:r>
          <m:t> </m:t>
        </m:r>
      </m:oMath>
      <w:r>
        <w:t xml:space="preserve">64.47 to start 2026 (**~+27% YTD**). The stock bottomed around $58–60 in late March/early April on tariff/macro fear, then re-rated hard after the April 22 Q1 beat (+~7% on the day) and the May 13 Investor Day.</w:t>
      </w:r>
    </w:p>
    <w:p>
      <w:pPr>
        <w:pStyle w:val="Compact"/>
        <w:numPr>
          <w:ilvl w:val="0"/>
          <w:numId w:val="1001"/>
        </w:numPr>
      </w:pPr>
      <w:r>
        <w:rPr>
          <w:b/>
          <w:bCs/>
        </w:rPr>
        <w:t xml:space="preserve">Implication:</w:t>
      </w:r>
      <w:r>
        <w:t xml:space="preserve"> </w:t>
      </w:r>
      <w:r>
        <w:t xml:space="preserve">Expectations have reset materially higher. A simple "solid quarter + reaffirm" may not be enough; the market will want confidence on the H2 margin bridge and the 2028 algorithm.</w:t>
      </w:r>
    </w:p>
    <w:p>
      <w:r>
        <w:pict>
          <v:rect style="width:0;height:1.5pt" o:hralign="center" o:hrstd="t" o:hr="t"/>
        </w:pict>
      </w:r>
    </w:p>
    <w:bookmarkEnd w:id="11"/>
    <w:bookmarkStart w:id="12" w:name="Xf14d6ec515caf460d99c28ec539d5d7738541bc"/>
    <w:p>
      <w:pPr>
        <w:pStyle w:val="Heading2"/>
      </w:pPr>
      <w:r>
        <w:t xml:space="preserve">The comparison base (this is messy — read carefully)</w:t>
      </w:r>
    </w:p>
    <w:p>
      <w:pPr>
        <w:pStyle w:val="FirstParagraph"/>
      </w:pPr>
      <w:r>
        <w:rPr>
          <w:b/>
          <w:bCs/>
        </w:rPr>
        <w:t xml:space="preserve">Q2 2025 actuals (the comp):</w:t>
      </w:r>
    </w:p>
    <w:p>
      <w:pPr>
        <w:pStyle w:val="Compact"/>
        <w:numPr>
          <w:ilvl w:val="0"/>
          <w:numId w:val="1002"/>
        </w:numPr>
      </w:pPr>
      <w:r>
        <w:t xml:space="preserve">Net sales</w:t>
      </w:r>
      <w:r>
        <w:t xml:space="preserve"> </w:t>
      </w:r>
      <w:r>
        <w:rPr>
          <w:b/>
          <w:bCs/>
        </w:rPr>
        <w:t xml:space="preserve">$2,051M</w:t>
      </w:r>
      <w:r>
        <w:t xml:space="preserve"> </w:t>
      </w:r>
      <w:r>
        <w:t xml:space="preserve">(−2% reported; ~flat ex-FX/divestitures)</w:t>
      </w:r>
    </w:p>
    <w:p>
      <w:pPr>
        <w:pStyle w:val="Compact"/>
        <w:numPr>
          <w:ilvl w:val="0"/>
          <w:numId w:val="1002"/>
        </w:numPr>
      </w:pPr>
      <w:r>
        <w:t xml:space="preserve">Adjusted EPS</w:t>
      </w:r>
      <w:r>
        <w:t xml:space="preserve"> </w:t>
      </w:r>
      <w:r>
        <w:rPr>
          <w:b/>
          <w:bCs/>
        </w:rPr>
        <w:t xml:space="preserve">$1.30</w:t>
      </w:r>
      <w:r>
        <w:t xml:space="preserve"> </w:t>
      </w:r>
      <w:r>
        <w:t xml:space="preserve">(+8%)</w:t>
      </w:r>
    </w:p>
    <w:p>
      <w:pPr>
        <w:pStyle w:val="Compact"/>
        <w:numPr>
          <w:ilvl w:val="0"/>
          <w:numId w:val="1002"/>
        </w:numPr>
      </w:pPr>
      <w:r>
        <w:t xml:space="preserve">Adjusted operating margin</w:t>
      </w:r>
      <w:r>
        <w:t xml:space="preserve"> </w:t>
      </w:r>
      <w:r>
        <w:rPr>
          <w:b/>
          <w:bCs/>
        </w:rPr>
        <w:t xml:space="preserve">20.1%</w:t>
      </w:r>
      <w:r>
        <w:t xml:space="preserve"> </w:t>
      </w:r>
      <w:r>
        <w:t xml:space="preserve">(+100 bps) —</w:t>
      </w:r>
      <w:r>
        <w:t xml:space="preserve"> </w:t>
      </w:r>
      <w:r>
        <w:rPr>
          <w:i/>
          <w:iCs/>
        </w:rPr>
        <w:t xml:space="preserve">the seasonal peak and a very tough comp</w:t>
      </w:r>
    </w:p>
    <w:p>
      <w:pPr>
        <w:pStyle w:val="Compact"/>
        <w:numPr>
          <w:ilvl w:val="0"/>
          <w:numId w:val="1002"/>
        </w:numPr>
      </w:pPr>
      <w:r>
        <w:t xml:space="preserve">Plumbing $1,312M, adj. margin 21.0%; Decorative Architectural $738M, adj. margin 21.3%</w:t>
      </w:r>
    </w:p>
    <w:p>
      <w:pPr>
        <w:pStyle w:val="FirstParagraph"/>
      </w:pPr>
      <w:r>
        <w:rPr>
          <w:b/>
          <w:bCs/>
        </w:rPr>
        <w:t xml:space="preserve">Q1 2026 actuals (the momentum):</w:t>
      </w:r>
    </w:p>
    <w:p>
      <w:pPr>
        <w:pStyle w:val="Compact"/>
        <w:numPr>
          <w:ilvl w:val="0"/>
          <w:numId w:val="1003"/>
        </w:numPr>
      </w:pPr>
      <w:r>
        <w:t xml:space="preserve">Net sales</w:t>
      </w:r>
      <w:r>
        <w:t xml:space="preserve"> </w:t>
      </w:r>
      <w:r>
        <w:rPr>
          <w:b/>
          <w:bCs/>
        </w:rPr>
        <w:t xml:space="preserve">$1,918M</w:t>
      </w:r>
      <w:r>
        <w:t xml:space="preserve"> </w:t>
      </w:r>
      <w:r>
        <w:t xml:space="preserve">(+6%; +4% local currency) — pricing +6% in plumbing, with</w:t>
      </w:r>
      <w:r>
        <w:t xml:space="preserve"> </w:t>
      </w:r>
      <w:r>
        <w:rPr>
          <w:i/>
          <w:iCs/>
        </w:rPr>
        <w:t xml:space="preserve">volume up slightly</w:t>
      </w:r>
      <w:r>
        <w:t xml:space="preserve">, the best Q1 volume since the pandemic</w:t>
      </w:r>
    </w:p>
    <w:p>
      <w:pPr>
        <w:pStyle w:val="Compact"/>
        <w:numPr>
          <w:ilvl w:val="0"/>
          <w:numId w:val="1003"/>
        </w:numPr>
      </w:pPr>
      <w:r>
        <w:t xml:space="preserve">Adjusted EPS</w:t>
      </w:r>
      <w:r>
        <w:t xml:space="preserve"> </w:t>
      </w:r>
      <w:r>
        <w:rPr>
          <w:b/>
          <w:bCs/>
        </w:rPr>
        <w:t xml:space="preserve">$1.04</w:t>
      </w:r>
      <w:r>
        <w:t xml:space="preserve"> </w:t>
      </w:r>
      <w:r>
        <w:t xml:space="preserve">(+20%); adjusted operating margin</w:t>
      </w:r>
      <w:r>
        <w:t xml:space="preserve"> </w:t>
      </w:r>
      <w:r>
        <w:rPr>
          <w:b/>
          <w:bCs/>
        </w:rPr>
        <w:t xml:space="preserve">16.9%</w:t>
      </w:r>
      <w:r>
        <w:t xml:space="preserve"> </w:t>
      </w:r>
      <w:r>
        <w:t xml:space="preserve">(+90 bps)</w:t>
      </w:r>
    </w:p>
    <w:p>
      <w:pPr>
        <w:pStyle w:val="FirstParagraph"/>
      </w:pPr>
      <w:r>
        <w:t xml:space="preserve">⚠️</w:t>
      </w:r>
      <w:r>
        <w:t xml:space="preserve"> </w:t>
      </w:r>
      <w:r>
        <w:rPr>
          <w:b/>
          <w:bCs/>
        </w:rPr>
        <w:t xml:space="preserve">Segment modeling nuance:</w:t>
      </w:r>
      <w:r>
        <w:t xml:space="preserve"> </w:t>
      </w:r>
      <w:r>
        <w:t xml:space="preserve">Liberty Hardware was moved out of Decorative Architectural and into the Plumbing segment starting in 2026. Prior-year segment figures are being recast, so headline plumbing growth looks inflated and Dec Arch looks depressed on an as-reported basis. Focus on organic/local-currency and margins, not raw segment sales deltas.</w:t>
      </w:r>
    </w:p>
    <w:p>
      <w:r>
        <w:pict>
          <v:rect style="width:0;height:1.5pt" o:hralign="center" o:hrstd="t" o:hr="t"/>
        </w:pict>
      </w:r>
    </w:p>
    <w:bookmarkEnd w:id="12"/>
    <w:bookmarkStart w:id="13" w:name="Xd434e8042f58600900842a2d97d943d2964e063"/>
    <w:p>
      <w:pPr>
        <w:pStyle w:val="Heading2"/>
      </w:pPr>
      <w:r>
        <w:t xml:space="preserve">What management already told you to expect for Q2</w:t>
      </w:r>
    </w:p>
    <w:p>
      <w:pPr>
        <w:pStyle w:val="FirstParagraph"/>
      </w:pPr>
      <w:r>
        <w:t xml:space="preserve">This is the most important framing. On the Q1 call, CFO Rick Westenberg guided</w:t>
      </w:r>
      <w:r>
        <w:t xml:space="preserve"> </w:t>
      </w:r>
      <w:r>
        <w:rPr>
          <w:b/>
          <w:bCs/>
        </w:rPr>
        <w:t xml:space="preserve">first-half margins to be roughly flat year-over-year</w:t>
      </w:r>
      <w:r>
        <w:t xml:space="preserve">. Since Q1 margin</w:t>
      </w:r>
      <w:r>
        <w:t xml:space="preserve"> </w:t>
      </w:r>
      <w:r>
        <w:rPr>
          <w:i/>
          <w:iCs/>
        </w:rPr>
        <w:t xml:space="preserve">expanded</w:t>
      </w:r>
      <w:r>
        <w:t xml:space="preserve"> </w:t>
      </w:r>
      <w:r>
        <w:t xml:space="preserve">90 bps, that math</w:t>
      </w:r>
      <w:r>
        <w:t xml:space="preserve"> </w:t>
      </w:r>
      <w:r>
        <w:rPr>
          <w:b/>
          <w:bCs/>
        </w:rPr>
        <w:t xml:space="preserve">implies year-over-year margin contraction in Q2</w:t>
      </w:r>
      <w:r>
        <w:t xml:space="preserve"> </w:t>
      </w:r>
      <w:r>
        <w:t xml:space="preserve">— and management confirmed it directly, while insisting Q2 will still be "a very strong quarter." The reason: Q2 2025 was a 20.1% margin quarter that had</w:t>
      </w:r>
      <w:r>
        <w:t xml:space="preserve"> </w:t>
      </w:r>
      <w:r>
        <w:rPr>
          <w:b/>
          <w:bCs/>
        </w:rPr>
        <w:t xml:space="preserve">not yet absorbed tariff costs</w:t>
      </w:r>
      <w:r>
        <w:t xml:space="preserve">, making it the hardest comp of the year.</w:t>
      </w:r>
    </w:p>
    <w:p>
      <w:pPr>
        <w:pStyle w:val="BodyText"/>
      </w:pPr>
      <w:r>
        <w:t xml:space="preserve">So the likely shape of Q2:</w:t>
      </w:r>
    </w:p>
    <w:p>
      <w:pPr>
        <w:pStyle w:val="Compact"/>
        <w:numPr>
          <w:ilvl w:val="0"/>
          <w:numId w:val="1004"/>
        </w:numPr>
      </w:pPr>
      <w:r>
        <w:rPr>
          <w:b/>
          <w:bCs/>
        </w:rPr>
        <w:t xml:space="preserve">Top line:</w:t>
      </w:r>
      <w:r>
        <w:t xml:space="preserve"> </w:t>
      </w:r>
      <w:r>
        <w:t xml:space="preserve">growth driven mostly by carryover plumbing pricing (H2'25 tariff-mitigation price increases still annualizing), plus resilient volume. Watch for local-currency plumbing growth to begin decelerating as pricing comps get tougher.</w:t>
      </w:r>
    </w:p>
    <w:p>
      <w:pPr>
        <w:pStyle w:val="Compact"/>
        <w:numPr>
          <w:ilvl w:val="0"/>
          <w:numId w:val="1004"/>
        </w:numPr>
      </w:pPr>
      <w:r>
        <w:rPr>
          <w:b/>
          <w:bCs/>
        </w:rPr>
        <w:t xml:space="preserve">Margin:</w:t>
      </w:r>
      <w:r>
        <w:t xml:space="preserve"> </w:t>
      </w:r>
      <w:r>
        <w:t xml:space="preserve">modest YoY contraction off a 20.1% peak — a</w:t>
      </w:r>
      <w:r>
        <w:t xml:space="preserve"> </w:t>
      </w:r>
      <w:r>
        <w:rPr>
          <w:i/>
          <w:iCs/>
        </w:rPr>
        <w:t xml:space="preserve">decline here is expected, not a miss</w:t>
      </w:r>
      <w:r>
        <w:t xml:space="preserve">. Don't let a lower-than-Q2'25 margin be misread.</w:t>
      </w:r>
    </w:p>
    <w:p>
      <w:pPr>
        <w:pStyle w:val="Compact"/>
        <w:numPr>
          <w:ilvl w:val="0"/>
          <w:numId w:val="1004"/>
        </w:numPr>
      </w:pPr>
      <w:r>
        <w:rPr>
          <w:b/>
          <w:bCs/>
        </w:rPr>
        <w:t xml:space="preserve">EPS:</w:t>
      </w:r>
      <w:r>
        <w:t xml:space="preserve"> </w:t>
      </w:r>
      <w:r>
        <w:t xml:space="preserve">management's FY guide (</w:t>
      </w:r>
      <m:oMath>
        <m:r>
          <m:t>4.10</m:t>
        </m:r>
        <m:r>
          <m:rPr>
            <m:sty m:val="p"/>
          </m:rPr>
          <m:t>–</m:t>
        </m:r>
      </m:oMath>
      <w:r>
        <w:t xml:space="preserve">4.30 adj., mid-point ~$4.20 vs. $3.96 in 2025) with Q1 at</w:t>
      </w:r>
      <w:r>
        <w:t xml:space="preserve"> </w:t>
      </w:r>
      <m:oMath>
        <m:r>
          <m:t>1.04</m:t>
        </m:r>
        <m:r>
          <m:t>l</m:t>
        </m:r>
        <m:r>
          <m:t>e</m:t>
        </m:r>
        <m:r>
          <m:t>a</m:t>
        </m:r>
        <m:r>
          <m:t>v</m:t>
        </m:r>
        <m:r>
          <m:t>e</m:t>
        </m:r>
        <m:r>
          <m:t>s</m:t>
        </m:r>
        <m:r>
          <m:t> </m:t>
        </m:r>
      </m:oMath>
      <w:r>
        <w:t xml:space="preserve">3.16 to spread across Q2–Q4; Q2 is seasonally the biggest quarter, so a print in the ballpark of last year's $1.30 (flat to modestly up) is consistent with the guide.</w:t>
      </w:r>
    </w:p>
    <w:p>
      <w:r>
        <w:pict>
          <v:rect style="width:0;height:1.5pt" o:hralign="center" o:hrstd="t" o:hr="t"/>
        </w:pict>
      </w:r>
    </w:p>
    <w:bookmarkEnd w:id="13"/>
    <w:bookmarkStart w:id="14" w:name="key-debates--what-to-watch"/>
    <w:p>
      <w:pPr>
        <w:pStyle w:val="Heading2"/>
      </w:pPr>
      <w:r>
        <w:t xml:space="preserve">Key debates / what to watch</w:t>
      </w:r>
    </w:p>
    <w:p>
      <w:pPr>
        <w:pStyle w:val="FirstParagraph"/>
      </w:pPr>
      <w:r>
        <w:rPr>
          <w:b/>
          <w:bCs/>
        </w:rPr>
        <w:t xml:space="preserve">1. Plumbing volume &amp; share — real or a pull-forward?</w:t>
      </w:r>
      <w:r>
        <w:t xml:space="preserve"> </w:t>
      </w:r>
      <w:r>
        <w:t xml:space="preserve">Q1's beat was almost entirely North American plumbing</w:t>
      </w:r>
      <w:r>
        <w:t xml:space="preserve"> </w:t>
      </w:r>
      <w:r>
        <w:rPr>
          <w:i/>
          <w:iCs/>
        </w:rPr>
        <w:t xml:space="preserve">volume</w:t>
      </w:r>
      <w:r>
        <w:t xml:space="preserve"> </w:t>
      </w:r>
      <w:r>
        <w:t xml:space="preserve">(Delta grew high-single digits across trade, retail and e-commerce). Management insisted there was no channel inventory pull-forward and attributed the beat mostly to</w:t>
      </w:r>
      <w:r>
        <w:t xml:space="preserve"> </w:t>
      </w:r>
      <w:r>
        <w:rPr>
          <w:b/>
          <w:bCs/>
        </w:rPr>
        <w:t xml:space="preserve">share gains</w:t>
      </w:r>
      <w:r>
        <w:t xml:space="preserve"> </w:t>
      </w:r>
      <w:r>
        <w:t xml:space="preserve">plus better-than-modeled price elasticity. If Q2 shows continued positive plumbing volume and share, it validates the "grow a point or two above market" thesis Nudi laid out. If volume turns negative, the sustainability question gets loud.</w:t>
      </w:r>
    </w:p>
    <w:p>
      <w:pPr>
        <w:pStyle w:val="BodyText"/>
      </w:pPr>
      <w:r>
        <w:rPr>
          <w:b/>
          <w:bCs/>
        </w:rPr>
        <w:t xml:space="preserve">2. Price/cost &amp; the back-half commodity headwind.</w:t>
      </w:r>
      <w:r>
        <w:t xml:space="preserve"> </w:t>
      </w:r>
      <w:r>
        <w:t xml:space="preserve">This is the crux. Management flagged that recent tariff</w:t>
      </w:r>
      <w:r>
        <w:t xml:space="preserve"> </w:t>
      </w:r>
      <w:r>
        <w:rPr>
          <w:i/>
          <w:iCs/>
        </w:rPr>
        <w:t xml:space="preserve">changes</w:t>
      </w:r>
      <w:r>
        <w:t xml:space="preserve"> </w:t>
      </w:r>
      <w:r>
        <w:t xml:space="preserve">(IEEPA ruling, Section 122/232 dynamics) are net</w:t>
      </w:r>
      <w:r>
        <w:t xml:space="preserve"> </w:t>
      </w:r>
      <w:r>
        <w:rPr>
          <w:b/>
          <w:bCs/>
        </w:rPr>
        <w:t xml:space="preserve">favorable</w:t>
      </w:r>
      <w:r>
        <w:t xml:space="preserve"> </w:t>
      </w:r>
      <w:r>
        <w:t xml:space="preserve">before mitigation — but that this favorability will be</w:t>
      </w:r>
      <w:r>
        <w:t xml:space="preserve"> </w:t>
      </w:r>
      <w:r>
        <w:rPr>
          <w:b/>
          <w:bCs/>
        </w:rPr>
        <w:t xml:space="preserve">more than offset by rising commodity/input costs</w:t>
      </w:r>
      <w:r>
        <w:t xml:space="preserve">, principally</w:t>
      </w:r>
      <w:r>
        <w:t xml:space="preserve"> </w:t>
      </w:r>
      <w:r>
        <w:rPr>
          <w:b/>
          <w:bCs/>
        </w:rPr>
        <w:t xml:space="preserve">copper (&gt;$6/lb), zinc, and oil-linked resins/freight</w:t>
      </w:r>
      <w:r>
        <w:t xml:space="preserve">. The macro backdrop confirms the pressure: the Middle East/US-Iran conflict has kept oil elevated, and high gas prices are being cited across consumer names this earnings season. The commodity hit is a</w:t>
      </w:r>
      <w:r>
        <w:t xml:space="preserve"> </w:t>
      </w:r>
      <w:r>
        <w:rPr>
          <w:b/>
          <w:bCs/>
        </w:rPr>
        <w:t xml:space="preserve">back-half 2026 phenomenon</w:t>
      </w:r>
      <w:r>
        <w:t xml:space="preserve"> </w:t>
      </w:r>
      <w:r>
        <w:t xml:space="preserve">(inventory flow-through), so watch for:</w:t>
      </w:r>
    </w:p>
    <w:p>
      <w:pPr>
        <w:pStyle w:val="Compact"/>
        <w:numPr>
          <w:ilvl w:val="0"/>
          <w:numId w:val="1005"/>
        </w:numPr>
      </w:pPr>
      <w:r>
        <w:t xml:space="preserve">Any change to the "net neutral to slight headwind" price/cost framing,</w:t>
      </w:r>
    </w:p>
    <w:p>
      <w:pPr>
        <w:pStyle w:val="Compact"/>
        <w:numPr>
          <w:ilvl w:val="0"/>
          <w:numId w:val="1005"/>
        </w:numPr>
      </w:pPr>
      <w:r>
        <w:t xml:space="preserve">Whether they signal</w:t>
      </w:r>
      <w:r>
        <w:t xml:space="preserve"> </w:t>
      </w:r>
      <w:r>
        <w:rPr>
          <w:b/>
          <w:bCs/>
        </w:rPr>
        <w:t xml:space="preserve">incremental pricing</w:t>
      </w:r>
      <w:r>
        <w:t xml:space="preserve"> </w:t>
      </w:r>
      <w:r>
        <w:t xml:space="preserve">(especially in Decorative Architectural / paint, where resin inflation is running mid-to-high single digits).</w:t>
      </w:r>
    </w:p>
    <w:p>
      <w:pPr>
        <w:pStyle w:val="FirstParagraph"/>
      </w:pPr>
      <w:r>
        <w:rPr>
          <w:b/>
          <w:bCs/>
        </w:rPr>
        <w:t xml:space="preserve">3. Decorative Architectural / paint — PRO vs. DIY.</w:t>
      </w:r>
      <w:r>
        <w:t xml:space="preserve"> </w:t>
      </w:r>
      <w:r>
        <w:t xml:space="preserve">Q1 Dec Arch was flat (PRO +MSD, DIY −LSD) with margins up sharply (19.0%) on restructuring savings and an easy inventory-timing comp. Full-year guide: sales ~flat, margin ~19%. Watch the PRO share-gain story (Behr &lt;10% PRO share, +200 bps over 5 yrs, tightly aligned with Home Depot) vs. a DIY market that stays pressured by low existing-home sales. Also watch whether resin inflation dents the ~19% margin target.</w:t>
      </w:r>
    </w:p>
    <w:p>
      <w:pPr>
        <w:pStyle w:val="BodyText"/>
      </w:pPr>
      <w:r>
        <w:rPr>
          <w:b/>
          <w:bCs/>
        </w:rPr>
        <w:t xml:space="preserve">4. Margin cadence &amp; the FY guide.</w:t>
      </w:r>
      <w:r>
        <w:t xml:space="preserve"> </w:t>
      </w:r>
      <w:r>
        <w:t xml:space="preserve">Expect a reaffirmed</w:t>
      </w:r>
      <w:r>
        <w:t xml:space="preserve"> </w:t>
      </w:r>
      <m:oMath>
        <m:r>
          <m:t>4.10</m:t>
        </m:r>
        <m:r>
          <m:rPr>
            <m:sty m:val="p"/>
          </m:rPr>
          <m:t>–</m:t>
        </m:r>
      </m:oMath>
      <w:r>
        <w:rPr>
          <w:b/>
          <w:bCs/>
        </w:rPr>
        <w:t xml:space="preserve">4.30 adjusted EPS</w:t>
      </w:r>
      <w:r>
        <w:t xml:space="preserve"> </w:t>
      </w:r>
      <w:r>
        <w:t xml:space="preserve">(management said "comfortably" land mid-range),</w:t>
      </w:r>
      <w:r>
        <w:t xml:space="preserve"> </w:t>
      </w:r>
      <w:r>
        <w:rPr>
          <w:b/>
          <w:bCs/>
        </w:rPr>
        <w:t xml:space="preserve">~17% full-year margin</w:t>
      </w:r>
      <w:r>
        <w:t xml:space="preserve">, and the message that margins</w:t>
      </w:r>
      <w:r>
        <w:t xml:space="preserve"> </w:t>
      </w:r>
      <w:r>
        <w:rPr>
          <w:i/>
          <w:iCs/>
        </w:rPr>
        <w:t xml:space="preserve">expand in H2</w:t>
      </w:r>
      <w:r>
        <w:t xml:space="preserve"> </w:t>
      </w:r>
      <w:r>
        <w:t xml:space="preserve">as tariff comps lap and mitigation/restructuring savings build. Restructuring (~$50M charges for 2026, on track) is a key self-help lever funding both margin and reinvestment.</w:t>
      </w:r>
    </w:p>
    <w:p>
      <w:pPr>
        <w:pStyle w:val="BodyText"/>
      </w:pPr>
      <w:r>
        <w:rPr>
          <w:b/>
          <w:bCs/>
        </w:rPr>
        <w:t xml:space="preserve">5. Capital allocation.</w:t>
      </w:r>
      <w:r>
        <w:t xml:space="preserve"> </w:t>
      </w:r>
      <w:r>
        <w:t xml:space="preserve">Management raised the 2026 buyback/M&amp;A envelope to **≥</w:t>
      </w:r>
      <m:oMath>
        <m:r>
          <m:t>800</m:t>
        </m:r>
        <m:r>
          <m:t>M</m:t>
        </m:r>
        <m:r>
          <m:rPr>
            <m:sty m:val="p"/>
          </m:rPr>
          <m:t>*</m:t>
        </m:r>
        <m:r>
          <m:rPr>
            <m:sty m:val="p"/>
          </m:rPr>
          <m:t>*</m:t>
        </m:r>
        <m:r>
          <m:rPr>
            <m:sty m:val="p"/>
          </m:rPr>
          <m:t>(</m:t>
        </m:r>
        <m:r>
          <m:t>f</m:t>
        </m:r>
        <m:r>
          <m:t>r</m:t>
        </m:r>
        <m:r>
          <m:t>o</m:t>
        </m:r>
        <m:r>
          <m:t>m</m:t>
        </m:r>
        <m:r>
          <m:t> </m:t>
        </m:r>
      </m:oMath>
      <w:r>
        <w:t xml:space="preserve">600M) and took on a **</w:t>
      </w:r>
      <m:oMath>
        <m:r>
          <m:t>500</m:t>
        </m:r>
        <m:r>
          <m:t>M</m:t>
        </m:r>
        <m:r>
          <m:t>t</m:t>
        </m:r>
        <m:r>
          <m:t>w</m:t>
        </m:r>
        <m:r>
          <m:t>o</m:t>
        </m:r>
        <m:r>
          <m:rPr>
            <m:sty m:val="p"/>
          </m:rPr>
          <m:t>−</m:t>
        </m:r>
        <m:r>
          <m:t>y</m:t>
        </m:r>
        <m:r>
          <m:t>e</m:t>
        </m:r>
        <m:r>
          <m:t>a</m:t>
        </m:r>
        <m:r>
          <m:t>r</m:t>
        </m:r>
        <m:r>
          <m:t>d</m:t>
        </m:r>
        <m:r>
          <m:t>e</m:t>
        </m:r>
        <m:r>
          <m:t>l</m:t>
        </m:r>
        <m:r>
          <m:t>a</m:t>
        </m:r>
        <m:r>
          <m:t>y</m:t>
        </m:r>
        <m:r>
          <m:t>e</m:t>
        </m:r>
        <m:r>
          <m:t>d</m:t>
        </m:r>
        <m:r>
          <m:rPr>
            <m:sty m:val="p"/>
          </m:rPr>
          <m:t>−</m:t>
        </m:r>
        <m:r>
          <m:t>d</m:t>
        </m:r>
        <m:r>
          <m:t>r</m:t>
        </m:r>
        <m:r>
          <m:t>a</m:t>
        </m:r>
        <m:r>
          <m:t>w</m:t>
        </m:r>
        <m:r>
          <m:t>t</m:t>
        </m:r>
        <m:r>
          <m:t>e</m:t>
        </m:r>
        <m:r>
          <m:t>r</m:t>
        </m:r>
        <m:r>
          <m:t>m</m:t>
        </m:r>
        <m:r>
          <m:t>l</m:t>
        </m:r>
        <m:r>
          <m:t>o</m:t>
        </m:r>
        <m:r>
          <m:t>a</m:t>
        </m:r>
        <m:r>
          <m:t>n</m:t>
        </m:r>
        <m:r>
          <m:rPr>
            <m:sty m:val="p"/>
          </m:rPr>
          <m:t>*</m:t>
        </m:r>
        <m:r>
          <m:rPr>
            <m:sty m:val="p"/>
          </m:rPr>
          <m:t>*</m:t>
        </m:r>
        <m:r>
          <m:t>s</m:t>
        </m:r>
        <m:r>
          <m:t>p</m:t>
        </m:r>
        <m:r>
          <m:t>e</m:t>
        </m:r>
        <m:r>
          <m:t>c</m:t>
        </m:r>
        <m:r>
          <m:t>i</m:t>
        </m:r>
        <m:r>
          <m:t>f</m:t>
        </m:r>
        <m:r>
          <m:t>i</m:t>
        </m:r>
        <m:r>
          <m:t>c</m:t>
        </m:r>
        <m:r>
          <m:t>a</m:t>
        </m:r>
        <m:r>
          <m:t>l</m:t>
        </m:r>
        <m:r>
          <m:t>l</m:t>
        </m:r>
        <m:r>
          <m:t>y</m:t>
        </m:r>
        <m:r>
          <m:t>t</m:t>
        </m:r>
        <m:r>
          <m:t>o</m:t>
        </m:r>
        <m:r>
          <m:t>o</m:t>
        </m:r>
        <m:r>
          <m:t>p</m:t>
        </m:r>
        <m:r>
          <m:t>p</m:t>
        </m:r>
        <m:r>
          <m:t>o</m:t>
        </m:r>
        <m:r>
          <m:t>r</m:t>
        </m:r>
        <m:r>
          <m:t>t</m:t>
        </m:r>
        <m:r>
          <m:t>u</m:t>
        </m:r>
        <m:r>
          <m:t>n</m:t>
        </m:r>
        <m:r>
          <m:t>i</m:t>
        </m:r>
        <m:r>
          <m:t>s</m:t>
        </m:r>
        <m:r>
          <m:t>t</m:t>
        </m:r>
        <m:r>
          <m:t>i</m:t>
        </m:r>
        <m:r>
          <m:t>c</m:t>
        </m:r>
        <m:r>
          <m:t>a</m:t>
        </m:r>
        <m:r>
          <m:t>l</m:t>
        </m:r>
        <m:r>
          <m:t>l</m:t>
        </m:r>
        <m:r>
          <m:t>y</m:t>
        </m:r>
        <m:r>
          <m:t>r</m:t>
        </m:r>
        <m:r>
          <m:t>e</m:t>
        </m:r>
        <m:r>
          <m:t>p</m:t>
        </m:r>
        <m:r>
          <m:t>u</m:t>
        </m:r>
        <m:r>
          <m:t>r</m:t>
        </m:r>
        <m:r>
          <m:t>c</m:t>
        </m:r>
        <m:r>
          <m:t>h</m:t>
        </m:r>
        <m:r>
          <m:t>a</m:t>
        </m:r>
        <m:r>
          <m:t>s</m:t>
        </m:r>
        <m:r>
          <m:t>e</m:t>
        </m:r>
        <m:r>
          <m:t>w</m:t>
        </m:r>
        <m:r>
          <m:t>h</m:t>
        </m:r>
        <m:r>
          <m:t>a</m:t>
        </m:r>
        <m:r>
          <m:t>t</m:t>
        </m:r>
        <m:r>
          <m:t>t</m:t>
        </m:r>
        <m:r>
          <m:t>h</m:t>
        </m:r>
        <m:r>
          <m:t>e</m:t>
        </m:r>
        <m:r>
          <m:t>y</m:t>
        </m:r>
        <m:r>
          <m:t>v</m:t>
        </m:r>
        <m:r>
          <m:t>i</m:t>
        </m:r>
        <m:r>
          <m:t>e</m:t>
        </m:r>
        <m:r>
          <m:t>w</m:t>
        </m:r>
        <m:r>
          <m:t>a</m:t>
        </m:r>
        <m:r>
          <m:t>s</m:t>
        </m:r>
        <m:r>
          <m:t>u</m:t>
        </m:r>
        <m:r>
          <m:t>n</m:t>
        </m:r>
        <m:r>
          <m:t>d</m:t>
        </m:r>
        <m:r>
          <m:t>e</m:t>
        </m:r>
        <m:r>
          <m:t>r</m:t>
        </m:r>
        <m:r>
          <m:t>v</m:t>
        </m:r>
        <m:r>
          <m:t>a</m:t>
        </m:r>
        <m:r>
          <m:t>l</m:t>
        </m:r>
        <m:r>
          <m:t>u</m:t>
        </m:r>
        <m:r>
          <m:t>e</m:t>
        </m:r>
        <m:r>
          <m:t>d</m:t>
        </m:r>
        <m:r>
          <m:t>s</m:t>
        </m:r>
        <m:r>
          <m:t>t</m:t>
        </m:r>
        <m:r>
          <m:t>o</m:t>
        </m:r>
        <m:r>
          <m:t>c</m:t>
        </m:r>
        <m:r>
          <m:t>k</m:t>
        </m:r>
        <m:r>
          <m:rPr>
            <m:sty m:val="p"/>
          </m:rPr>
          <m:t>(</m:t>
        </m:r>
        <m:r>
          <m:t>200</m:t>
        </m:r>
        <m:r>
          <m:t>M</m:t>
        </m:r>
        <m:r>
          <m:t>s</m:t>
        </m:r>
        <m:r>
          <m:t>h</m:t>
        </m:r>
        <m:r>
          <m:t>a</m:t>
        </m:r>
        <m:r>
          <m:t>r</m:t>
        </m:r>
        <m:r>
          <m:t>e</m:t>
        </m:r>
        <m:r>
          <m:rPr>
            <m:sty m:val="p"/>
          </m:rPr>
          <m:t>−</m:t>
        </m:r>
        <m:r>
          <m:t>c</m:t>
        </m:r>
        <m:r>
          <m:t>o</m:t>
        </m:r>
        <m:r>
          <m:t>u</m:t>
        </m:r>
        <m:r>
          <m:t>n</m:t>
        </m:r>
        <m:r>
          <m:t>t</m:t>
        </m:r>
        <m:r>
          <m:t>a</m:t>
        </m:r>
        <m:r>
          <m:t>s</m:t>
        </m:r>
        <m:r>
          <m:t>s</m:t>
        </m:r>
        <m:r>
          <m:t>u</m:t>
        </m:r>
        <m:r>
          <m:t>m</m:t>
        </m:r>
        <m:r>
          <m:t>p</m:t>
        </m:r>
        <m:r>
          <m:t>t</m:t>
        </m:r>
        <m:r>
          <m:t>i</m:t>
        </m:r>
        <m:r>
          <m:t>o</m:t>
        </m:r>
        <m:r>
          <m:t>n</m:t>
        </m:r>
        <m:r>
          <m:t>f</m:t>
        </m:r>
        <m:r>
          <m:t>o</m:t>
        </m:r>
        <m:r>
          <m:t>r</m:t>
        </m:r>
        <m:r>
          <m:t>t</m:t>
        </m:r>
        <m:r>
          <m:t>h</m:t>
        </m:r>
        <m:r>
          <m:t>e</m:t>
        </m:r>
        <m:r>
          <m:t>y</m:t>
        </m:r>
        <m:r>
          <m:t>e</m:t>
        </m:r>
        <m:r>
          <m:t>a</m:t>
        </m:r>
        <m:r>
          <m:t>r</m:t>
        </m:r>
        <m:r>
          <m:rPr>
            <m:sty m:val="p"/>
          </m:rPr>
          <m:t>)</m:t>
        </m:r>
        <m:r>
          <m:rPr>
            <m:sty m:val="p"/>
          </m:rPr>
          <m:t>.</m:t>
        </m:r>
        <m:r>
          <m:t>W</m:t>
        </m:r>
        <m:r>
          <m:t>a</m:t>
        </m:r>
        <m:r>
          <m:t>t</m:t>
        </m:r>
        <m:r>
          <m:t>c</m:t>
        </m:r>
        <m:r>
          <m:t>h</m:t>
        </m:r>
        <m:r>
          <m:t>t</m:t>
        </m:r>
        <m:r>
          <m:t>h</m:t>
        </m:r>
        <m:r>
          <m:t>e</m:t>
        </m:r>
        <m:r>
          <m:t>Q</m:t>
        </m:r>
        <m:r>
          <m:t>2</m:t>
        </m:r>
        <m:r>
          <m:t>r</m:t>
        </m:r>
        <m:r>
          <m:t>e</m:t>
        </m:r>
        <m:r>
          <m:t>p</m:t>
        </m:r>
        <m:r>
          <m:t>u</m:t>
        </m:r>
        <m:r>
          <m:t>r</m:t>
        </m:r>
        <m:r>
          <m:t>c</m:t>
        </m:r>
        <m:r>
          <m:t>h</m:t>
        </m:r>
        <m:r>
          <m:t>a</m:t>
        </m:r>
        <m:r>
          <m:t>s</m:t>
        </m:r>
        <m:r>
          <m:t>e</m:t>
        </m:r>
        <m:r>
          <m:t>p</m:t>
        </m:r>
        <m:r>
          <m:t>a</m:t>
        </m:r>
        <m:r>
          <m:t>c</m:t>
        </m:r>
        <m:r>
          <m:t>e</m:t>
        </m:r>
        <m:r>
          <m:rPr>
            <m:sty m:val="p"/>
          </m:rPr>
          <m:t>(</m:t>
        </m:r>
      </m:oMath>
      <w:r>
        <w:t xml:space="preserve">202M in Q1), balance-sheet leverage (2.1x gross debt/EBITDA, comfortably under the 2.5x ceiling), and any</w:t>
      </w:r>
      <w:r>
        <w:t xml:space="preserve"> </w:t>
      </w:r>
      <w:r>
        <w:rPr>
          <w:b/>
          <w:bCs/>
        </w:rPr>
        <w:t xml:space="preserve">M&amp;A / bolt-on</w:t>
      </w:r>
      <w:r>
        <w:t xml:space="preserve"> </w:t>
      </w:r>
      <w:r>
        <w:t xml:space="preserve">commentary (bolt-ons remain the focus; Watkins/Wellness the most acquisitive platform). A</w:t>
      </w:r>
      <w:r>
        <w:t xml:space="preserve"> </w:t>
      </w:r>
      <w:r>
        <w:rPr>
          <w:b/>
          <w:bCs/>
        </w:rPr>
        <w:t xml:space="preserve">dividend increase</w:t>
      </w:r>
      <w:r>
        <w:t xml:space="preserve"> </w:t>
      </w:r>
      <w:r>
        <w:t xml:space="preserve">could also be declared (Board declared $0.31/qtr in Q2'25; ~13-year raise streak).</w:t>
      </w:r>
    </w:p>
    <w:p>
      <w:pPr>
        <w:pStyle w:val="BodyText"/>
      </w:pPr>
      <w:r>
        <w:rPr>
          <w:b/>
          <w:bCs/>
        </w:rPr>
        <w:t xml:space="preserve">6. Working capital / cash.</w:t>
      </w:r>
      <w:r>
        <w:t xml:space="preserve"> </w:t>
      </w:r>
      <w:r>
        <w:t xml:space="preserve">Working capital was elevated at 19.5% of sales in Q1 (tariff-driven inventory/receivables, shorter payment terms). Management targets ~16.5% by year-end — Q2 progress toward normalization is a cash-flow tell.</w:t>
      </w:r>
    </w:p>
    <w:p>
      <w:r>
        <w:pict>
          <v:rect style="width:0;height:1.5pt" o:hralign="center" o:hrstd="t" o:hr="t"/>
        </w:pict>
      </w:r>
    </w:p>
    <w:bookmarkEnd w:id="14"/>
    <w:bookmarkStart w:id="15" w:name="X2f2cdf2bc51951560d9ce79e7cc178389abc79a"/>
    <w:p>
      <w:pPr>
        <w:pStyle w:val="Heading2"/>
      </w:pPr>
      <w:r>
        <w:t xml:space="preserve">The bigger frame: Investor Day (May 13) targets</w:t>
      </w:r>
    </w:p>
    <w:p>
      <w:pPr>
        <w:pStyle w:val="FirstParagraph"/>
      </w:pPr>
      <w:r>
        <w:t xml:space="preserve">Nudi's first Investor Day as CEO reset the long-term algorithm, and Q2 commentary will be judged against it:</w:t>
      </w:r>
    </w:p>
    <w:p>
      <w:pPr>
        <w:pStyle w:val="Compact"/>
        <w:numPr>
          <w:ilvl w:val="0"/>
          <w:numId w:val="1006"/>
        </w:numPr>
      </w:pPr>
      <w:r>
        <w:rPr>
          <w:b/>
          <w:bCs/>
        </w:rPr>
        <w:t xml:space="preserve">Organic sales growth of ~3–4%/year</w:t>
      </w:r>
      <w:r>
        <w:t xml:space="preserve"> </w:t>
      </w:r>
      <w:r>
        <w:t xml:space="preserve">(modest in 2026, accelerating to 3–4% in 2027–28 as R&amp;R recovers), reaching</w:t>
      </w:r>
      <w:r>
        <w:t xml:space="preserve"> </w:t>
      </w:r>
      <w:r>
        <w:rPr>
          <w:b/>
          <w:bCs/>
        </w:rPr>
        <w:t xml:space="preserve">&gt;$8B revenue by 2028</w:t>
      </w:r>
    </w:p>
    <w:p>
      <w:pPr>
        <w:pStyle w:val="Compact"/>
        <w:numPr>
          <w:ilvl w:val="0"/>
          <w:numId w:val="1006"/>
        </w:numPr>
      </w:pPr>
      <w:r>
        <w:rPr>
          <w:b/>
          <w:bCs/>
        </w:rPr>
        <w:t xml:space="preserve">Operating margin ≥18% by 2028</w:t>
      </w:r>
      <w:r>
        <w:t xml:space="preserve"> </w:t>
      </w:r>
      <w:r>
        <w:t xml:space="preserve">(from 16.8% in 2025)</w:t>
      </w:r>
    </w:p>
    <w:p>
      <w:pPr>
        <w:pStyle w:val="Compact"/>
        <w:numPr>
          <w:ilvl w:val="0"/>
          <w:numId w:val="1006"/>
        </w:numPr>
      </w:pPr>
      <w:r>
        <w:rPr>
          <w:b/>
          <w:bCs/>
        </w:rPr>
        <w:t xml:space="preserve">~10% adjusted EPS CAGR</w:t>
      </w:r>
    </w:p>
    <w:p>
      <w:pPr>
        <w:pStyle w:val="Compact"/>
        <w:numPr>
          <w:ilvl w:val="0"/>
          <w:numId w:val="1006"/>
        </w:numPr>
      </w:pPr>
      <w:r>
        <w:t xml:space="preserve">Growth engines: plumbing e-commerce/luxury/global projects, Behr PRO, and Wellness (sauna penetration only ~1% of US homes)</w:t>
      </w:r>
    </w:p>
    <w:p>
      <w:pPr>
        <w:pStyle w:val="FirstParagraph"/>
      </w:pPr>
      <w:r>
        <w:t xml:space="preserve">The structural R&amp;R bull case (record home equity, aging housing stock, ~$22B of deferred/pent-up remodeling demand) is intact but gated by weak consumer confidence and low existing-home turnover (80% of mortgages &lt;6%). Any read on whether the R&amp;R market is finally inflecting is the swing factor for the 2027 acceleration story.</w:t>
      </w:r>
    </w:p>
    <w:p>
      <w:r>
        <w:pict>
          <v:rect style="width:0;height:1.5pt" o:hralign="center" o:hrstd="t" o:hr="t"/>
        </w:pict>
      </w:r>
    </w:p>
    <w:bookmarkEnd w:id="15"/>
    <w:bookmarkStart w:id="16" w:name="bottom-line-for-investors"/>
    <w:p>
      <w:pPr>
        <w:pStyle w:val="Heading2"/>
      </w:pPr>
      <w:r>
        <w:t xml:space="preserve">Bottom line for investors</w:t>
      </w:r>
    </w:p>
    <w:p>
      <w:pPr>
        <w:pStyle w:val="Compact"/>
        <w:numPr>
          <w:ilvl w:val="0"/>
          <w:numId w:val="1007"/>
        </w:numPr>
      </w:pPr>
      <w:r>
        <w:rPr>
          <w:b/>
          <w:bCs/>
        </w:rPr>
        <w:t xml:space="preserve">Base case:</w:t>
      </w:r>
      <w:r>
        <w:t xml:space="preserve"> </w:t>
      </w:r>
      <w:r>
        <w:t xml:space="preserve">A "quality" quarter — solid top-line (pricing-led, resilient volume), an</w:t>
      </w:r>
      <w:r>
        <w:t xml:space="preserve"> </w:t>
      </w:r>
      <w:r>
        <w:rPr>
          <w:i/>
          <w:iCs/>
        </w:rPr>
        <w:t xml:space="preserve">expected</w:t>
      </w:r>
      <w:r>
        <w:t xml:space="preserve"> </w:t>
      </w:r>
      <w:r>
        <w:t xml:space="preserve">YoY margin step-down off a 20.1% peak, reaffirmed FY26 guide, and continued aggressive buybacks. That's already largely in the stock.</w:t>
      </w:r>
    </w:p>
    <w:p>
      <w:pPr>
        <w:pStyle w:val="Compact"/>
        <w:numPr>
          <w:ilvl w:val="0"/>
          <w:numId w:val="1007"/>
        </w:numPr>
      </w:pPr>
      <w:r>
        <w:rPr>
          <w:b/>
          <w:bCs/>
        </w:rPr>
        <w:t xml:space="preserve">What moves it up:</w:t>
      </w:r>
      <w:r>
        <w:t xml:space="preserve"> </w:t>
      </w:r>
      <w:r>
        <w:t xml:space="preserve">Continued positive plumbing volume/share, Dec Arch stabilization, and management sounding</w:t>
      </w:r>
      <w:r>
        <w:t xml:space="preserve"> </w:t>
      </w:r>
      <w:r>
        <w:rPr>
          <w:i/>
          <w:iCs/>
        </w:rPr>
        <w:t xml:space="preserve">less</w:t>
      </w:r>
      <w:r>
        <w:t xml:space="preserve"> </w:t>
      </w:r>
      <w:r>
        <w:t xml:space="preserve">cautious on the H2 price/cost setup — plus any early evidence R&amp;R is turning.</w:t>
      </w:r>
    </w:p>
    <w:p>
      <w:pPr>
        <w:pStyle w:val="Compact"/>
        <w:numPr>
          <w:ilvl w:val="0"/>
          <w:numId w:val="1007"/>
        </w:numPr>
      </w:pPr>
      <w:r>
        <w:rPr>
          <w:b/>
          <w:bCs/>
        </w:rPr>
        <w:t xml:space="preserve">What moves it down:</w:t>
      </w:r>
      <w:r>
        <w:t xml:space="preserve"> </w:t>
      </w:r>
      <w:r>
        <w:t xml:space="preserve">Plumbing volume rolling over (fueling the "Q1 was a one-off" fear), a bigger-than-expected commodity/resin headwind forcing a more defensive H2 margin bridge, or any wobble in the FY/2028 confidence given the elevated valuation.</w:t>
      </w:r>
    </w:p>
    <w:p>
      <w:pPr>
        <w:pStyle w:val="Compact"/>
        <w:numPr>
          <w:ilvl w:val="0"/>
          <w:numId w:val="1007"/>
        </w:numPr>
      </w:pPr>
      <w:r>
        <w:rPr>
          <w:b/>
          <w:bCs/>
        </w:rPr>
        <w:t xml:space="preserve">Watch the reaction function:</w:t>
      </w:r>
      <w:r>
        <w:t xml:space="preserve"> </w:t>
      </w:r>
      <w:r>
        <w:t xml:space="preserve">With the stock near highs and up ~27% YTD, the risk/reward skews toward "priced for good news." Focus on the</w:t>
      </w:r>
      <w:r>
        <w:t xml:space="preserve"> </w:t>
      </w:r>
      <w:r>
        <w:rPr>
          <w:i/>
          <w:iCs/>
        </w:rPr>
        <w:t xml:space="preserve">guidance tone and price/cost math</w:t>
      </w:r>
      <w:r>
        <w:t xml:space="preserve">, not the headline EPS beat/miss.</w:t>
      </w:r>
    </w:p>
    <w:p>
      <w:pPr>
        <w:pStyle w:val="FirstParagraph"/>
      </w:pPr>
      <w:r>
        <w:rPr>
          <w:i/>
          <w:iCs/>
        </w:rPr>
        <w:t xml:space="preserve">Note: I framed expectations against company guidance and prior-period actuals rather than a specific published sell-side consensus, which I couldn't verify in the available sources.</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2026-07-29T00:18:21Z</dcterms:created>
  <dcterms:modified xsi:type="dcterms:W3CDTF">2026-07-29T00:18:21Z</dcterms:modified>
</cp:coreProperties>
</file>

<file path=docProps/custom.xml><?xml version="1.0" encoding="utf-8"?>
<Properties xmlns="http://schemas.openxmlformats.org/officeDocument/2006/custom-properties" xmlns:vt="http://schemas.openxmlformats.org/officeDocument/2006/docPropsVTypes"/>
</file>