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s-earnings-predictions--2026-07-29"/>
    <w:p>
      <w:pPr>
        <w:pStyle w:val="Heading1"/>
      </w:pPr>
      <w:r>
        <w:t xml:space="preserve">MAS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~$1.33 vs. cons $1.29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~$2,105M vs. cons $2,078M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~19.3% vs. cons ~19.4%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4.10</m:t>
              </m:r>
              <m:r>
                <m:rPr>
                  <m:sty m:val="p"/>
                </m:rPr>
                <m:t>−</m:t>
              </m:r>
            </m:oMath>
            <w:r>
              <w:t xml:space="preserve">4.30 (reaffirmed, midpoint ~$4.20) vs. cons $4.25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~up 3% vs. cons ~up 1.5-2%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Company Adjusted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~17.0% vs. cons ~17.0%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(FOLLOW-THROUGH)</w:t>
            </w:r>
          </w:p>
        </w:tc>
        <w:tc>
          <w:tcPr/>
          <w:p>
            <w:pPr>
              <w:pStyle w:val="Compact"/>
            </w:pPr>
            <w:r>
              <w:t xml:space="preserve">Stock has rallied ~27% YTD and sits near consensus price targets, so a merely in-line-to-modest-beat quarter with reaffirmed (not raised) FY26 EPS guidance is likely read as 'good enough isn't good enough' after the Q1 beat-and-raise setup. Management's own pre-flagged Q2 margin contraction (tough 20.1% margin comp) and commentary that copper/zinc/resin cost inflation will outpace tariff relief in H2 gives sell-side a reason to trim H2/FY27 margin and EPS estimates even off a Q2 sales/EPS beat, producing continued downward revisions and residual weakness through the week rather than a snap-back.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2026-07-29T00:20:56Z</dcterms:created>
  <dcterms:modified xsi:type="dcterms:W3CDTF">2026-07-29T00:20:56Z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