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5cb367756e4e4a9a7b6d1d85642b2feedbd7a8c"/>
    <w:p>
      <w:pPr>
        <w:pStyle w:val="Heading1"/>
      </w:pPr>
      <w:r>
        <w:t xml:space="preserve">Masco Corporation (MAS) — Q2 2026 Earnings Preview</w:t>
      </w:r>
    </w:p>
    <w:p>
      <w:pPr>
        <w:pStyle w:val="FirstParagraph"/>
      </w:pPr>
      <w:r>
        <w:rPr>
          <w:b/>
          <w:bCs/>
        </w:rPr>
        <w:t xml:space="preserve">Reports:</w:t>
      </w:r>
      <w:r>
        <w:t xml:space="preserve"> </w:t>
      </w:r>
      <w:r>
        <w:t xml:space="preserve">Wednesday, July 29, 2026, before market open (conference call at 8:00 a.m. ET)</w:t>
      </w:r>
      <w:r>
        <w:t xml:space="preserve"> </w:t>
      </w:r>
      <w:r>
        <w:rPr>
          <w:b/>
          <w:bCs/>
        </w:rPr>
        <w:t xml:space="preserve">Last close (7/28/26):</w:t>
      </w:r>
      <w:r>
        <w:t xml:space="preserve"> </w:t>
      </w:r>
      <w:r>
        <w:t xml:space="preserve">$81.63 — stock is up roughly 27% year-to-date and has more than doubled off its March low near $59</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Masco heads into Q2 with considerable momentum. Shares jumped over 10% the day of the Q1 report (April 22) after a much stronger-than-expected quarter, and the stock has continued to grind higher through the Investor Day (May 13) and into July, recently touching fresh highs around $82. Sentiment has clearly improved, which raises the bar for this print — a "good enough" quarter may not be enough to keep the stock climbing given how much good news is already priced in.</w:t>
      </w:r>
    </w:p>
    <w:p>
      <w:pPr>
        <w:pStyle w:val="BodyText"/>
      </w:pPr>
      <w:r>
        <w:rPr>
          <w:b/>
          <w:bCs/>
        </w:rPr>
        <w:t xml:space="preserve">Consensus expectations:</w:t>
      </w:r>
    </w:p>
    <w:p>
      <w:pPr>
        <w:pStyle w:val="Compact"/>
        <w:numPr>
          <w:ilvl w:val="0"/>
          <w:numId w:val="1001"/>
        </w:numPr>
      </w:pPr>
      <w:r>
        <w:t xml:space="preserve">Adjusted EPS of roughly</w:t>
      </w:r>
      <w:r>
        <w:t xml:space="preserve"> </w:t>
      </w:r>
      <m:oMath>
        <m:r>
          <m:t>1.29</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t</m:t>
        </m:r>
        <m:r>
          <m:t>o</m:t>
        </m:r>
        <m:r>
          <m:t>s</m:t>
        </m:r>
        <m:r>
          <m:t>l</m:t>
        </m:r>
        <m:r>
          <m:t>i</m:t>
        </m:r>
        <m:r>
          <m:t>g</m:t>
        </m:r>
        <m:r>
          <m:t>h</m:t>
        </m:r>
        <m:r>
          <m:t>t</m:t>
        </m:r>
        <m:r>
          <m:t>l</m:t>
        </m:r>
        <m:r>
          <m:t>y</m:t>
        </m:r>
        <m:r>
          <m:t>d</m:t>
        </m:r>
        <m:r>
          <m:t>o</m:t>
        </m:r>
        <m:r>
          <m:t>w</m:t>
        </m:r>
        <m:r>
          <m:t>n</m:t>
        </m:r>
        <m:r>
          <m:t>v</m:t>
        </m:r>
        <m:r>
          <m:t>e</m:t>
        </m:r>
        <m:r>
          <m:t>r</m:t>
        </m:r>
        <m:r>
          <m:t>s</m:t>
        </m:r>
        <m:r>
          <m:t>u</m:t>
        </m:r>
        <m:r>
          <m:t>s</m:t>
        </m:r>
        <m:r>
          <m:rPr>
            <m:sty m:val="p"/>
          </m:rPr>
          <m:t>*</m:t>
        </m:r>
        <m:r>
          <m:rPr>
            <m:sty m:val="p"/>
          </m:rPr>
          <m:t>*</m:t>
        </m:r>
      </m:oMath>
      <w:r>
        <w:rPr>
          <w:b/>
          <w:bCs/>
        </w:rPr>
        <w:t xml:space="preserve">1.30</w:t>
      </w:r>
      <w:r>
        <w:t xml:space="preserve"> </w:t>
      </w:r>
      <w:r>
        <w:t xml:space="preserve">in Q2 2025</w:t>
      </w:r>
    </w:p>
    <w:p>
      <w:pPr>
        <w:pStyle w:val="Compact"/>
        <w:numPr>
          <w:ilvl w:val="0"/>
          <w:numId w:val="1001"/>
        </w:numPr>
      </w:pPr>
      <w:r>
        <w:t xml:space="preserve">Full-year 2026 consensus of about</w:t>
      </w:r>
      <w:r>
        <w:t xml:space="preserve"> </w:t>
      </w:r>
      <m:oMath>
        <m:r>
          <m:t>4.25</m:t>
        </m:r>
        <m:r>
          <m:rPr>
            <m:sty m:val="p"/>
          </m:rPr>
          <m:t>*</m:t>
        </m:r>
        <m:r>
          <m:rPr>
            <m:sty m:val="p"/>
          </m:rPr>
          <m:t>*</m:t>
        </m:r>
        <m:r>
          <m:rPr>
            <m:sty m:val="p"/>
          </m:rPr>
          <m:t>,</m:t>
        </m:r>
        <m:r>
          <m:t>w</m:t>
        </m:r>
        <m:r>
          <m:t>i</m:t>
        </m:r>
        <m:r>
          <m:t>t</m:t>
        </m:r>
        <m:r>
          <m:t>h</m:t>
        </m:r>
        <m:r>
          <m:t>i</m:t>
        </m:r>
        <m:r>
          <m:t>n</m:t>
        </m:r>
        <m:r>
          <m:rPr>
            <m:sty m:val="p"/>
          </m:rPr>
          <m:t>(</m:t>
        </m:r>
        <m:r>
          <m:t>b</m:t>
        </m:r>
        <m:r>
          <m:t>u</m:t>
        </m:r>
        <m:r>
          <m:t>t</m:t>
        </m:r>
        <m:r>
          <m:t>t</m:t>
        </m:r>
        <m:r>
          <m:t>o</m:t>
        </m:r>
        <m:r>
          <m:t>w</m:t>
        </m:r>
        <m:r>
          <m:t>a</m:t>
        </m:r>
        <m:r>
          <m:t>r</m:t>
        </m:r>
        <m:r>
          <m:t>d</m:t>
        </m:r>
        <m:r>
          <m:t>t</m:t>
        </m:r>
        <m:r>
          <m:t>h</m:t>
        </m:r>
        <m:r>
          <m:t>e</m:t>
        </m:r>
        <m:r>
          <m:t>h</m:t>
        </m:r>
        <m:r>
          <m:t>i</m:t>
        </m:r>
        <m:r>
          <m:t>g</m:t>
        </m:r>
        <m:r>
          <m:t>h</m:t>
        </m:r>
        <m:r>
          <m:t>e</m:t>
        </m:r>
        <m:r>
          <m:t>n</m:t>
        </m:r>
        <m:r>
          <m:t>d</m:t>
        </m:r>
        <m:r>
          <m:t>o</m:t>
        </m:r>
        <m:r>
          <m:t>f</m:t>
        </m:r>
        <m:r>
          <m:rPr>
            <m:sty m:val="p"/>
          </m:rPr>
          <m:t>)</m:t>
        </m:r>
        <m:r>
          <m:t>m</m:t>
        </m:r>
        <m:r>
          <m:t>a</m:t>
        </m:r>
        <m:r>
          <m:t>n</m:t>
        </m:r>
        <m:r>
          <m:t>a</m:t>
        </m:r>
        <m:r>
          <m:t>g</m:t>
        </m:r>
        <m:r>
          <m:t>e</m:t>
        </m:r>
        <m:r>
          <m:t>m</m:t>
        </m:r>
        <m:r>
          <m:t>e</m:t>
        </m:r>
        <m:r>
          <m:t>n</m:t>
        </m:r>
        <m:sSup>
          <m:e>
            <m:r>
              <m:t>t</m:t>
            </m:r>
          </m:e>
          <m:sup>
            <m:r>
              <m:rPr>
                <m:sty m:val="p"/>
              </m:rPr>
              <m:t>′</m:t>
            </m:r>
          </m:sup>
        </m:sSup>
        <m:r>
          <m:t>s</m:t>
        </m:r>
        <m:r>
          <m:rPr>
            <m:sty m:val="p"/>
          </m:rPr>
          <m:t>*</m:t>
        </m:r>
        <m:r>
          <m:rPr>
            <m:sty m:val="p"/>
          </m:rPr>
          <m:t>*</m:t>
        </m:r>
      </m:oMath>
      <w:r>
        <w:rPr>
          <w:b/>
          <w:bCs/>
        </w:rPr>
        <w:t xml:space="preserve">4.10–$4.30</w:t>
      </w:r>
      <w:r>
        <w:t xml:space="preserve"> </w:t>
      </w:r>
      <w:r>
        <w:t xml:space="preserve">guidance range</w:t>
      </w:r>
    </w:p>
    <w:p>
      <w:pPr>
        <w:pStyle w:val="Compact"/>
        <w:numPr>
          <w:ilvl w:val="0"/>
          <w:numId w:val="1001"/>
        </w:numPr>
      </w:pPr>
      <w:r>
        <w:t xml:space="preserve">FY2027 consensus around</w:t>
      </w:r>
      <w:r>
        <w:t xml:space="preserve"> </w:t>
      </w:r>
      <w:r>
        <w:rPr>
          <w:b/>
          <w:bCs/>
        </w:rPr>
        <w:t xml:space="preserve">$4.69</w:t>
      </w:r>
      <w:r>
        <w:t xml:space="preserve">, implying a resumption of double-digit EPS growth</w:t>
      </w:r>
    </w:p>
    <w:p>
      <w:pPr>
        <w:pStyle w:val="Compact"/>
        <w:numPr>
          <w:ilvl w:val="0"/>
          <w:numId w:val="1001"/>
        </w:numPr>
      </w:pPr>
      <w:r>
        <w:t xml:space="preserve">Sell-side is generally constructive: a "Moderate Buy" consensus with the majority of ratings at Hold/Buy and an average price target in the low-to-mid $80s — meaning the stock trades close to where analysts already see fair value, raising the importance of guidance/tone on the call</w:t>
      </w:r>
    </w:p>
    <w:bookmarkEnd w:id="9"/>
    <w:bookmarkStart w:id="10" w:name="Xdc257ad3069e9124bc5fc8003e608f2a7b149ba"/>
    <w:p>
      <w:pPr>
        <w:pStyle w:val="Heading2"/>
      </w:pPr>
      <w:r>
        <w:t xml:space="preserve">2. What Happened Last Quarter (Q1 2026 Recap)</w:t>
      </w:r>
    </w:p>
    <w:p>
      <w:pPr>
        <w:pStyle w:val="FirstParagraph"/>
      </w:pPr>
      <w:r>
        <w:t xml:space="preserve">Q1 set an unusually strong tone. Net sales rose 6% (4% in local currency) to $1,918 million, adjusted operating margin expanded 90 bps to 16.9%, and adjusted EPS grew 20% to $1.04 — well ahead of expectations, driven mostly by a plumbing volume beat in North America (Delta Faucet grew high-single-digits across trade, retail and e-commerce channels). Management called it "our strongest year-over-year first quarter volume performance since the end of the pandemic." Decorative Architectural (paint) sales were flat, better than feared, with Pro paint up mid-single-digits offsetting a DIY decline.</w:t>
      </w:r>
    </w:p>
    <w:p>
      <w:pPr>
        <w:pStyle w:val="BodyText"/>
      </w:pPr>
      <w:r>
        <w:t xml:space="preserve">Despite the beat, management chose to</w:t>
      </w:r>
      <w:r>
        <w:t xml:space="preserve"> </w:t>
      </w:r>
      <w:r>
        <w:rPr>
          <w:b/>
          <w:bCs/>
        </w:rPr>
        <w:t xml:space="preserve">reiterate rather than raise</w:t>
      </w:r>
      <w:r>
        <w:t xml:space="preserve"> </w:t>
      </w:r>
      <w:r>
        <w:t xml:space="preserve">full-year adjusted EPS guidance of</w:t>
      </w:r>
      <w:r>
        <w:t xml:space="preserve"> </w:t>
      </w:r>
      <m:oMath>
        <m:r>
          <m:t>4.10</m:t>
        </m:r>
        <m:r>
          <m:rPr>
            <m:sty m:val="p"/>
          </m:rPr>
          <m:t>–</m:t>
        </m:r>
      </m:oMath>
      <w:r>
        <w:t xml:space="preserve">4.30, citing rising macro/geopolitical uncertainty (notably a Middle East conflict that emerged during the quarter and drove an "oil shock"), and increased its full-year sales outlook only modestly, to "up low single digits" from "flat to up low single digits." Segment guides were maintained: Plumbing sales up low-single-digits with ~18% margin; Decorative Architectural roughly flat sales with ~19% margin; total company margin ~17%.</w:t>
      </w:r>
    </w:p>
    <w:bookmarkEnd w:id="10"/>
    <w:bookmarkStart w:id="11" w:name="X25a521a6bb1431e057528355df9a3a750171d0f"/>
    <w:p>
      <w:pPr>
        <w:pStyle w:val="Heading2"/>
      </w:pPr>
      <w:r>
        <w:t xml:space="preserve">3. Key Debates Investors Will Be Watching For</w:t>
      </w:r>
    </w:p>
    <w:p>
      <w:pPr>
        <w:pStyle w:val="FirstParagraph"/>
      </w:pPr>
      <w:r>
        <w:rPr>
          <w:b/>
          <w:bCs/>
        </w:rPr>
        <w:t xml:space="preserve">a) The margin comp gets much harder in Q2.</w:t>
      </w:r>
      <w:r>
        <w:t xml:space="preserve"> </w:t>
      </w:r>
      <w:r>
        <w:t xml:space="preserve">Management explicitly guided first-half 2026 margins to be roughly flat year-over-year (versus a prior guide of contraction), which — since Q1 already expanded 90 bps — mechanically implies</w:t>
      </w:r>
      <w:r>
        <w:t xml:space="preserve"> </w:t>
      </w:r>
      <w:r>
        <w:rPr>
          <w:b/>
          <w:bCs/>
        </w:rPr>
        <w:t xml:space="preserve">margin contraction in Q2</w:t>
      </w:r>
      <w:r>
        <w:t xml:space="preserve">. The reason: Q2 2025 was a clean, pre-tariff quarter with an unusually strong ~20% adjusted operating margin, making for a difficult comparison. Watch whether Q2 margin compression comes in better or worse than the market is modeling, and whether management still expects margin expansion to resume in the back half as tariff mitigation and restructuring savings build.</w:t>
      </w:r>
    </w:p>
    <w:p>
      <w:pPr>
        <w:pStyle w:val="BodyText"/>
      </w:pPr>
      <w:r>
        <w:rPr>
          <w:b/>
          <w:bCs/>
        </w:rPr>
        <w:t xml:space="preserve">b) Price/cost — tariff relief vs. commodity inflation.</w:t>
      </w:r>
      <w:r>
        <w:t xml:space="preserve"> </w:t>
      </w:r>
      <w:r>
        <w:t xml:space="preserve">Recent changes (the IEEPA tariff ruling, temporary Section 122 tariffs, revised Section 232 treatment of steel/aluminum/copper) are expected to be a</w:t>
      </w:r>
      <w:r>
        <w:t xml:space="preserve"> </w:t>
      </w:r>
      <w:r>
        <w:rPr>
          <w:i/>
          <w:iCs/>
        </w:rPr>
        <w:t xml:space="preserve">net favorable</w:t>
      </w:r>
      <w:r>
        <w:t xml:space="preserve"> </w:t>
      </w:r>
      <w:r>
        <w:t xml:space="preserve">shift in tariff costs versus the prior ~$200 million gross estimate. However, management flagged that</w:t>
      </w:r>
      <w:r>
        <w:t xml:space="preserve"> </w:t>
      </w:r>
      <w:r>
        <w:rPr>
          <w:b/>
          <w:bCs/>
        </w:rPr>
        <w:t xml:space="preserve">elevated commodity costs — particularly copper (still running above $6/lb, confirmed by current spot pricing near $6.30/lb), zinc, and oil-linked inputs like resins used in paint — will likely more than offset that tariff tailwind</w:t>
      </w:r>
      <w:r>
        <w:t xml:space="preserve">, with the impact concentrated in the back half of 2026 as costs work through inventory. Investors should listen for updated quantification of this dynamic and whether incremental pricing actions are needed, especially in Decorative Architectural, where management called petrochemical-driven cost pressure "the one surprise" of the year so far.</w:t>
      </w:r>
    </w:p>
    <w:p>
      <w:pPr>
        <w:pStyle w:val="BodyText"/>
      </w:pPr>
      <w:r>
        <w:rPr>
          <w:b/>
          <w:bCs/>
        </w:rPr>
        <w:t xml:space="preserve">c) Can Plumbing volume strength persist?</w:t>
      </w:r>
      <w:r>
        <w:t xml:space="preserve"> </w:t>
      </w:r>
      <w:r>
        <w:t xml:space="preserve">Plumbing local-currency sales grew 7% in Q1 (with North America up 9%, primarily Delta Faucet and Watkins Wellness), yet full-year guidance still calls for only low-single-digit segment growth — implying a significant deceleration is baked into the outlook as tough pricing comps arrive (Q1's 6-points-of-price benefit won't repeat) and as the oil-shock/consumer-confidence overhang potentially bites. A volume print that stays resilient would suggest conservatism in guidance and possible upside; a sharp deceleration would validate management's caution.</w:t>
      </w:r>
    </w:p>
    <w:p>
      <w:pPr>
        <w:pStyle w:val="BodyText"/>
      </w:pPr>
      <w:r>
        <w:rPr>
          <w:b/>
          <w:bCs/>
        </w:rPr>
        <w:t xml:space="preserve">d) Decorative Architectural: Pro vs. DIY divergence.</w:t>
      </w:r>
      <w:r>
        <w:t xml:space="preserve"> </w:t>
      </w:r>
      <w:r>
        <w:t xml:space="preserve">Expect continued mid-single-digit growth in Pro paint against a low-single-digit decline in DIY, which remains tightly correlated to depressed existing home sales. Any commentary on Home Depot Pro initiatives, share gains (Behr has already added ~200 bps of Pro share over five years) or signs of DIY stabilization will matter for the multi-year narrative laid out at Investor Day.</w:t>
      </w:r>
    </w:p>
    <w:p>
      <w:pPr>
        <w:pStyle w:val="BodyText"/>
      </w:pPr>
      <w:r>
        <w:rPr>
          <w:b/>
          <w:bCs/>
        </w:rPr>
        <w:t xml:space="preserve">e) Restructuring execution and cost savings.</w:t>
      </w:r>
      <w:r>
        <w:t xml:space="preserve"> </w:t>
      </w:r>
      <w:r>
        <w:t xml:space="preserve">Masco incurred</w:t>
      </w:r>
      <w:r>
        <w:t xml:space="preserve"> </w:t>
      </w:r>
      <m:oMath>
        <m:r>
          <m:t>8</m:t>
        </m:r>
        <m:r>
          <m:t>m</m:t>
        </m:r>
        <m:r>
          <m:t>i</m:t>
        </m:r>
        <m:r>
          <m:t>l</m:t>
        </m:r>
        <m:r>
          <m:t>l</m:t>
        </m:r>
        <m:r>
          <m:t>i</m:t>
        </m:r>
        <m:r>
          <m:t>o</m:t>
        </m:r>
        <m:r>
          <m:t>n</m:t>
        </m:r>
        <m:r>
          <m:t>o</m:t>
        </m:r>
        <m:r>
          <m:t>f</m:t>
        </m:r>
        <m:r>
          <m:t>r</m:t>
        </m:r>
        <m:r>
          <m:t>e</m:t>
        </m:r>
        <m:r>
          <m:t>s</m:t>
        </m:r>
        <m:r>
          <m:t>t</m:t>
        </m:r>
        <m:r>
          <m:t>r</m:t>
        </m:r>
        <m:r>
          <m:t>u</m:t>
        </m:r>
        <m:r>
          <m:t>c</m:t>
        </m:r>
        <m:r>
          <m:t>t</m:t>
        </m:r>
        <m:r>
          <m:t>u</m:t>
        </m:r>
        <m:r>
          <m:t>r</m:t>
        </m:r>
        <m:r>
          <m:t>i</m:t>
        </m:r>
        <m:r>
          <m:t>n</m:t>
        </m:r>
        <m:r>
          <m:t>g</m:t>
        </m:r>
        <m:r>
          <m:t>c</m:t>
        </m:r>
        <m:r>
          <m:t>h</m:t>
        </m:r>
        <m:r>
          <m:t>a</m:t>
        </m:r>
        <m:r>
          <m:t>r</m:t>
        </m:r>
        <m:r>
          <m:t>g</m:t>
        </m:r>
        <m:r>
          <m:t>e</m:t>
        </m:r>
        <m:r>
          <m:t>s</m:t>
        </m:r>
        <m:r>
          <m:t>i</m:t>
        </m:r>
        <m:r>
          <m:t>n</m:t>
        </m:r>
        <m:r>
          <m:t>Q</m:t>
        </m:r>
        <m:r>
          <m:t>1</m:t>
        </m:r>
        <m:r>
          <m:t>t</m:t>
        </m:r>
        <m:r>
          <m:t>o</m:t>
        </m:r>
        <m:r>
          <m:t>w</m:t>
        </m:r>
        <m:r>
          <m:t>a</m:t>
        </m:r>
        <m:r>
          <m:t>r</m:t>
        </m:r>
        <m:r>
          <m:t>d</m:t>
        </m:r>
        <m:r>
          <m:t>a</m:t>
        </m:r>
        <m:r>
          <m:t>f</m:t>
        </m:r>
        <m:r>
          <m:t>u</m:t>
        </m:r>
        <m:r>
          <m:t>l</m:t>
        </m:r>
        <m:r>
          <m:t>l</m:t>
        </m:r>
        <m:r>
          <m:rPr>
            <m:sty m:val="p"/>
          </m:rPr>
          <m:t>−</m:t>
        </m:r>
        <m:r>
          <m:t>y</m:t>
        </m:r>
        <m:r>
          <m:t>e</m:t>
        </m:r>
        <m:r>
          <m:t>a</m:t>
        </m:r>
        <m:r>
          <m:t>r</m:t>
        </m:r>
        <m:r>
          <m:t>t</m:t>
        </m:r>
        <m:r>
          <m:t>a</m:t>
        </m:r>
        <m:r>
          <m:t>r</m:t>
        </m:r>
        <m:r>
          <m:t>g</m:t>
        </m:r>
        <m:r>
          <m:t>e</m:t>
        </m:r>
        <m:r>
          <m:t>t</m:t>
        </m:r>
        <m:r>
          <m:t>o</m:t>
        </m:r>
        <m:r>
          <m:t>f</m:t>
        </m:r>
        <m:r>
          <m:t> </m:t>
        </m:r>
      </m:oMath>
      <w:r>
        <w:t xml:space="preserve">50 million, tied to headcount reduction, footprint optimization, and the Liberty Hardware–into–Delta integration. These savings are a key lever supporting margin expansion guidance; look for confirmation the program remains on track and early color on how much flows through in 2026 versus building toward 2027–2028.</w:t>
      </w:r>
    </w:p>
    <w:p>
      <w:pPr>
        <w:pStyle w:val="BodyText"/>
      </w:pPr>
      <w:r>
        <w:rPr>
          <w:b/>
          <w:bCs/>
        </w:rPr>
        <w:t xml:space="preserve">f) Capital allocation cadence.</w:t>
      </w:r>
      <w:r>
        <w:t xml:space="preserve"> </w:t>
      </w:r>
      <w:r>
        <w:t xml:space="preserve">Management raised 2026 deployment toward share repurchases/M&amp;A to</w:t>
      </w:r>
      <w:r>
        <w:t xml:space="preserve"> </w:t>
      </w:r>
      <w:r>
        <w:rPr>
          <w:b/>
          <w:bCs/>
        </w:rPr>
        <w:t xml:space="preserve">at least $800 million</w:t>
      </w:r>
      <w:r>
        <w:t xml:space="preserve"> </w:t>
      </w:r>
      <w:r>
        <w:t xml:space="preserve">(from $600 million), funded partly by a new 2-year, $500 million delayed-draw term loan, alongside a February 2026 $2.0 billion share buyback authorization. With leverage still comfortably below the 2.5x gross debt/EBITDA ceiling (2.1x at Q1-end), watch for confirmation of continued opportunistic buybacks and any incremental bolt-on M&amp;A commentary.</w:t>
      </w:r>
    </w:p>
    <w:bookmarkEnd w:id="11"/>
    <w:bookmarkStart w:id="12" w:name="Xca6b597f97881d6ab4397dc0e62f52f988c9889"/>
    <w:p>
      <w:pPr>
        <w:pStyle w:val="Heading2"/>
      </w:pPr>
      <w:r>
        <w:t xml:space="preserve">4. The Bigger Picture: Investor Day Targets</w:t>
      </w:r>
    </w:p>
    <w:p>
      <w:pPr>
        <w:pStyle w:val="FirstParagraph"/>
      </w:pPr>
      <w:r>
        <w:t xml:space="preserve">At its May 13 Investor Day, Masco laid out a new long-term algorithm under CEO Jon Nudi (who joined last summer):</w:t>
      </w:r>
      <w:r>
        <w:t xml:space="preserve"> </w:t>
      </w:r>
      <w:r>
        <w:rPr>
          <w:b/>
          <w:bCs/>
        </w:rPr>
        <w:t xml:space="preserve">3–4% average annual organic sales growth</w:t>
      </w:r>
      <w:r>
        <w:t xml:space="preserve">,</w:t>
      </w:r>
      <w:r>
        <w:t xml:space="preserve"> </w:t>
      </w:r>
      <w:r>
        <w:rPr>
          <w:b/>
          <w:bCs/>
        </w:rPr>
        <w:t xml:space="preserve">operating margin expansion to at least 18% by 2028</w:t>
      </w:r>
      <w:r>
        <w:t xml:space="preserve"> </w:t>
      </w:r>
      <w:r>
        <w:t xml:space="preserve">(from 16.8% in 2025), and</w:t>
      </w:r>
      <w:r>
        <w:t xml:space="preserve"> </w:t>
      </w:r>
      <w:r>
        <w:rPr>
          <w:b/>
          <w:bCs/>
        </w:rPr>
        <w:t xml:space="preserve">~10% average annual adjusted EPS growth</w:t>
      </w:r>
      <w:r>
        <w:t xml:space="preserve">, underpinned by an executive committee reorganization (Delta, Hansgrohe, Behr and Watkins Wellness leaders now report directly to Nudi), new digital/e-commerce and procurement centers of excellence, and continued footprint/sourcing optimization. Management explicitly frames 2026 as a transition year with more modest growth, before accelerating in 2027–2028 as the repair-and-remodel cycle recovers — supported by record home equity levels, an aging housing stock, and an estimated $22 billion of pent-up deferred remodeling spend. This quarter's results and tone will be an early proof point for whether that acceleration is on schedule.</w:t>
      </w:r>
    </w:p>
    <w:bookmarkEnd w:id="12"/>
    <w:bookmarkStart w:id="13" w:name="X8100bbde885d1eb27c516f2029bc8a94d5da11e"/>
    <w:p>
      <w:pPr>
        <w:pStyle w:val="Heading2"/>
      </w:pPr>
      <w:r>
        <w:t xml:space="preserve">5. Risks to Monitor</w:t>
      </w:r>
    </w:p>
    <w:p>
      <w:pPr>
        <w:pStyle w:val="Compact"/>
        <w:numPr>
          <w:ilvl w:val="0"/>
          <w:numId w:val="1002"/>
        </w:numPr>
      </w:pPr>
      <w:r>
        <w:rPr>
          <w:b/>
          <w:bCs/>
        </w:rPr>
        <w:t xml:space="preserve">Macro/geopolitical volatility</w:t>
      </w:r>
      <w:r>
        <w:t xml:space="preserve">: management repeatedly flagged the Middle East conflict and resulting oil price shock as a new source of uncertainty for consumer sentiment and input costs since the Q1 call</w:t>
      </w:r>
    </w:p>
    <w:p>
      <w:pPr>
        <w:pStyle w:val="Compact"/>
        <w:numPr>
          <w:ilvl w:val="0"/>
          <w:numId w:val="1002"/>
        </w:numPr>
      </w:pPr>
      <w:r>
        <w:rPr>
          <w:b/>
          <w:bCs/>
        </w:rPr>
        <w:t xml:space="preserve">China weakness</w:t>
      </w:r>
      <w:r>
        <w:t xml:space="preserve"> </w:t>
      </w:r>
      <w:r>
        <w:t xml:space="preserve">continuing to weigh on Hansgrohe's international plumbing business</w:t>
      </w:r>
    </w:p>
    <w:p>
      <w:pPr>
        <w:pStyle w:val="Compact"/>
        <w:numPr>
          <w:ilvl w:val="0"/>
          <w:numId w:val="1002"/>
        </w:numPr>
      </w:pPr>
      <w:r>
        <w:rPr>
          <w:b/>
          <w:bCs/>
        </w:rPr>
        <w:t xml:space="preserve">DIY paint</w:t>
      </w:r>
      <w:r>
        <w:t xml:space="preserve"> </w:t>
      </w:r>
      <w:r>
        <w:t xml:space="preserve">remaining structurally pressured by low existing home turnover (elevated mortgage rates locking in ~80% of homeowners below 6%)</w:t>
      </w:r>
    </w:p>
    <w:p>
      <w:pPr>
        <w:pStyle w:val="Compact"/>
        <w:numPr>
          <w:ilvl w:val="0"/>
          <w:numId w:val="1002"/>
        </w:numPr>
      </w:pPr>
      <w:r>
        <w:rPr>
          <w:b/>
          <w:bCs/>
        </w:rPr>
        <w:t xml:space="preserve">Commodity volatility</w:t>
      </w:r>
      <w:r>
        <w:t xml:space="preserve"> </w:t>
      </w:r>
      <w:r>
        <w:t xml:space="preserve">(copper, zinc, oil/resins) outpacing tariff relief and requiring further pricing action</w:t>
      </w:r>
    </w:p>
    <w:p>
      <w:pPr>
        <w:pStyle w:val="Compact"/>
        <w:numPr>
          <w:ilvl w:val="0"/>
          <w:numId w:val="1002"/>
        </w:numPr>
      </w:pPr>
      <w:r>
        <w:t xml:space="preserve">Valuation is no longer cheap after the year-to-date rally, raising the bar for the stock to re-rate further without a genuine beat-and-raise</w:t>
      </w:r>
    </w:p>
    <w:bookmarkEnd w:id="13"/>
    <w:bookmarkStart w:id="14" w:name="bottom-line"/>
    <w:p>
      <w:pPr>
        <w:pStyle w:val="Heading2"/>
      </w:pPr>
      <w:r>
        <w:t xml:space="preserve">Bottom Line</w:t>
      </w:r>
    </w:p>
    <w:p>
      <w:pPr>
        <w:pStyle w:val="FirstParagraph"/>
      </w:pPr>
      <w:r>
        <w:t xml:space="preserve">Masco enters Q2 earnings with strong recent execution, reaffirmed full-year guidance, and a credible long-term growth/margin story from its May Investor Day, but also with a materially tougher year-over-year margin comparison and rising commodity cost pressure that management has already signaled will weigh on second-quarter profitability before an anticipated second-half recovery. With consensus modeling a roughly flat EPS quarter and the stock trading near consensus price targets after a strong run, the market's reaction is likely to hinge less on the Q2 print itself and more on (1) commentary on price/cost trends into the back half, (2) whether Plumbing volume momentum is holding up amid macro uncertainty, and (3) any update to full-year guidance.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2026-07-29T00:20:56Z</dcterms:created>
  <dcterms:modified xsi:type="dcterms:W3CDTF">2026-07-29T00:20:56Z</dcterms:modified>
</cp:coreProperties>
</file>

<file path=docProps/custom.xml><?xml version="1.0" encoding="utf-8"?>
<Properties xmlns="http://schemas.openxmlformats.org/officeDocument/2006/custom-properties" xmlns:vt="http://schemas.openxmlformats.org/officeDocument/2006/docPropsVTypes"/>
</file>