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masco-nyse-mas-2026-q2-earnings-preview"/>
    <w:p>
      <w:pPr>
        <w:pStyle w:val="Heading1"/>
      </w:pPr>
      <w:r>
        <w:t xml:space="preserve">Masco (NYSE: MAS) 2026 Q2 Earnings Preview</w:t>
      </w:r>
    </w:p>
    <w:p>
      <w:pPr>
        <w:pStyle w:val="BlockText"/>
      </w:pPr>
      <w:r>
        <w:rPr>
          <w:b/>
          <w:bCs/>
        </w:rPr>
        <w:t xml:space="preserve">Timing clarification:</w:t>
      </w:r>
      <w:r>
        <w:t xml:space="preserve"> </w:t>
      </w:r>
      <w:r>
        <w:t xml:space="preserve">Masco’s second-quarter results are scheduled for</w:t>
      </w:r>
      <w:r>
        <w:t xml:space="preserve"> </w:t>
      </w:r>
      <w:r>
        <w:rPr>
          <w:b/>
          <w:bCs/>
        </w:rPr>
        <w:t xml:space="preserve">Wednesday, July 29, 2026—not tomorrow</w:t>
      </w:r>
      <w:r>
        <w:t xml:space="preserve">. The company said it would release results at</w:t>
      </w:r>
      <w:r>
        <w:t xml:space="preserve"> </w:t>
      </w:r>
      <w:r>
        <w:rPr>
          <w:b/>
          <w:bCs/>
        </w:rPr>
        <w:t xml:space="preserve">7:00 a.m. ET</w:t>
      </w:r>
      <w:r>
        <w:t xml:space="preserve">, followed by the earnings call at</w:t>
      </w:r>
      <w:r>
        <w:t xml:space="preserve"> </w:t>
      </w:r>
      <w:r>
        <w:rPr>
          <w:b/>
          <w:bCs/>
        </w:rPr>
        <w:t xml:space="preserve">8:00 a.m. ET</w:t>
      </w:r>
      <w:r>
        <w:t xml:space="preserve">. No Q2 results were available in the materials reviewed for this preview. (</w:t>
      </w:r>
      <w:hyperlink r:id="rId9">
        <w:r>
          <w:rPr>
            <w:rStyle w:val="Hyperlink"/>
          </w:rPr>
          <w:t xml:space="preserve">investor.masco.com</w:t>
        </w:r>
      </w:hyperlink>
      <w:r>
        <w:t xml:space="preserve">)</w:t>
      </w:r>
    </w:p>
    <w:bookmarkStart w:id="10" w:name="executive-view"/>
    <w:p>
      <w:pPr>
        <w:pStyle w:val="Heading2"/>
      </w:pPr>
      <w:r>
        <w:t xml:space="preserve">Executive view</w:t>
      </w:r>
    </w:p>
    <w:p>
      <w:pPr>
        <w:pStyle w:val="FirstParagraph"/>
      </w:pPr>
      <w:r>
        <w:t xml:space="preserve">This report is less about whether Masco can deliver another EPS beat and more about whether</w:t>
      </w:r>
      <w:r>
        <w:t xml:space="preserve"> </w:t>
      </w:r>
      <w:r>
        <w:rPr>
          <w:b/>
          <w:bCs/>
        </w:rPr>
        <w:t xml:space="preserve">Q1’s surprisingly resilient demand and strong execution can survive rising input costs and a difficult margin comparison</w:t>
      </w:r>
      <w:r>
        <w:t xml:space="preserve">.</w:t>
      </w:r>
    </w:p>
    <w:p>
      <w:pPr>
        <w:pStyle w:val="BodyText"/>
      </w:pPr>
      <w:r>
        <w:t xml:space="preserve">The setup is favorable but demanding:</w:t>
      </w:r>
    </w:p>
    <w:p>
      <w:pPr>
        <w:pStyle w:val="Compact"/>
        <w:numPr>
          <w:ilvl w:val="0"/>
          <w:numId w:val="1001"/>
        </w:numPr>
      </w:pPr>
      <w:r>
        <w:t xml:space="preserve">Q1 sales rose 6%, adjusted operating profit increased 13%, and adjusted EPS grew 20%.</w:t>
      </w:r>
    </w:p>
    <w:p>
      <w:pPr>
        <w:pStyle w:val="Compact"/>
        <w:numPr>
          <w:ilvl w:val="0"/>
          <w:numId w:val="1001"/>
        </w:numPr>
      </w:pPr>
      <w:r>
        <w:t xml:space="preserve">North American plumbing volumes exceeded management’s expectations despite substantial pricing.</w:t>
      </w:r>
    </w:p>
    <w:p>
      <w:pPr>
        <w:pStyle w:val="Compact"/>
        <w:numPr>
          <w:ilvl w:val="0"/>
          <w:numId w:val="1001"/>
        </w:numPr>
      </w:pPr>
      <w:r>
        <w:t xml:space="preserve">Restructuring and other cost actions are already supporting margins.</w:t>
      </w:r>
    </w:p>
    <w:p>
      <w:pPr>
        <w:pStyle w:val="Compact"/>
        <w:numPr>
          <w:ilvl w:val="0"/>
          <w:numId w:val="1001"/>
        </w:numPr>
      </w:pPr>
      <w:r>
        <w:t xml:space="preserve">Aggressive repurchases should provide a meaningful EPS tailwind.</w:t>
      </w:r>
    </w:p>
    <w:p>
      <w:pPr>
        <w:pStyle w:val="Compact"/>
        <w:numPr>
          <w:ilvl w:val="0"/>
          <w:numId w:val="1001"/>
        </w:numPr>
      </w:pPr>
      <w:r>
        <w:t xml:space="preserve">However, management explicitly guided to</w:t>
      </w:r>
      <w:r>
        <w:t xml:space="preserve"> </w:t>
      </w:r>
      <w:r>
        <w:rPr>
          <w:b/>
          <w:bCs/>
        </w:rPr>
        <w:t xml:space="preserve">Q2 margin contraction</w:t>
      </w:r>
      <w:r>
        <w:t xml:space="preserve">, with copper, zinc, resin, freight, and other oil-linked costs becoming more significant as the year progresses.</w:t>
      </w:r>
    </w:p>
    <w:p>
      <w:pPr>
        <w:pStyle w:val="Compact"/>
        <w:numPr>
          <w:ilvl w:val="0"/>
          <w:numId w:val="1001"/>
        </w:numPr>
      </w:pPr>
      <w:r>
        <w:t xml:space="preserve">The stock closed at</w:t>
      </w:r>
      <w:r>
        <w:t xml:space="preserve"> </w:t>
      </w:r>
      <w:r>
        <w:rPr>
          <w:b/>
          <w:bCs/>
        </w:rPr>
        <w:t xml:space="preserve">$81.63 on July 28</w:t>
      </w:r>
      <w:r>
        <w:t xml:space="preserve">, up approximately</w:t>
      </w:r>
      <w:r>
        <w:t xml:space="preserve"> </w:t>
      </w:r>
      <w:r>
        <w:rPr>
          <w:b/>
          <w:bCs/>
        </w:rPr>
        <w:t xml:space="preserve">27% year to date</w:t>
      </w:r>
      <w:r>
        <w:t xml:space="preserve"> </w:t>
      </w:r>
      <w:r>
        <w:t xml:space="preserve">and 22% since immediately before the Q1 report. Expectations are therefore materially higher than they were three months ago.</w:t>
      </w:r>
    </w:p>
    <w:p>
      <w:pPr>
        <w:pStyle w:val="FirstParagraph"/>
      </w:pPr>
      <w:r>
        <w:t xml:space="preserve">A modest EPS beat accompanied by unchanged guidance may not be enough. The better outcome would be continued volume resilience, controlled Q2 margin pressure, and increased confidence in second-half price/cost mitigation.</w:t>
      </w:r>
    </w:p>
    <w:p>
      <w:r>
        <w:pict>
          <v:rect style="width:0;height:1.5pt" o:hralign="center" o:hrstd="t" o:hr="t"/>
        </w:pict>
      </w:r>
    </w:p>
    <w:bookmarkEnd w:id="10"/>
    <w:bookmarkStart w:id="12" w:name="the-headline-numbers"/>
    <w:p>
      <w:pPr>
        <w:pStyle w:val="Heading2"/>
      </w:pPr>
      <w:r>
        <w:t xml:space="preserve">The headline numbers</w:t>
      </w:r>
    </w:p>
    <w:p>
      <w:pPr>
        <w:pStyle w:val="FirstParagraph"/>
      </w:pPr>
      <w:r>
        <w:t xml:space="preserve">Public estimate aggregators currently indicate roughly the following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t xml:space="preserve">Approximately</w:t>
            </w:r>
            <w:r>
              <w:t xml:space="preserve"> </w:t>
            </w:r>
            <w:r>
              <w:rPr>
                <w:b/>
                <w:bCs/>
              </w:rPr>
              <w:t xml:space="preserve">$2.08 billion</w:t>
            </w:r>
          </w:p>
        </w:tc>
        <w:tc>
          <w:tcPr/>
          <w:p>
            <w:pPr>
              <w:pStyle w:val="Compact"/>
              <w:jc w:val="right"/>
            </w:pPr>
            <w:r>
              <w:t xml:space="preserve">$2.051 billion</w:t>
            </w:r>
          </w:p>
        </w:tc>
        <w:tc>
          <w:tcPr/>
          <w:p>
            <w:pPr>
              <w:pStyle w:val="Compact"/>
              <w:jc w:val="right"/>
            </w:pPr>
            <w:r>
              <w:t xml:space="preserve">Approximately</w:t>
            </w:r>
            <w:r>
              <w:t xml:space="preserve"> </w:t>
            </w:r>
            <w:r>
              <w:rPr>
                <w:b/>
                <w:bCs/>
              </w:rPr>
              <w:t xml:space="preserve">+1%</w:t>
            </w:r>
          </w:p>
        </w:tc>
      </w:tr>
      <w:tr>
        <w:tc>
          <w:tcPr/>
          <w:p>
            <w:pPr>
              <w:pStyle w:val="Compact"/>
            </w:pPr>
            <w:r>
              <w:t xml:space="preserve">Adjusted EPS</w:t>
            </w:r>
          </w:p>
        </w:tc>
        <w:tc>
          <w:tcPr/>
          <w:p>
            <w:pPr>
              <w:pStyle w:val="Compact"/>
              <w:jc w:val="right"/>
            </w:pPr>
            <w:r>
              <w:t xml:space="preserve">Approximately</w:t>
            </w:r>
            <w:r>
              <w:t xml:space="preserve"> </w:t>
            </w:r>
            <m:oMath>
              <m:r>
                <m:t>1.29</m:t>
              </m:r>
              <m:r>
                <m:rPr>
                  <m:sty m:val="p"/>
                </m:rPr>
                <m:t>−</m:t>
              </m:r>
            </m:oMath>
            <w:r>
              <w:rPr>
                <w:b/>
                <w:bCs/>
              </w:rPr>
              <w:t xml:space="preserve">1.32</w:t>
            </w:r>
          </w:p>
        </w:tc>
        <w:tc>
          <w:tcPr/>
          <w:p>
            <w:pPr>
              <w:pStyle w:val="Compact"/>
              <w:jc w:val="right"/>
            </w:pPr>
            <w:r>
              <w:t xml:space="preserve">$1.30</w:t>
            </w:r>
          </w:p>
        </w:tc>
        <w:tc>
          <w:tcPr/>
          <w:p>
            <w:pPr>
              <w:pStyle w:val="Compact"/>
              <w:jc w:val="right"/>
            </w:pPr>
            <w:r>
              <w:t xml:space="preserve">Roughly flat</w:t>
            </w:r>
          </w:p>
        </w:tc>
      </w:tr>
      <w:tr>
        <w:tc>
          <w:tcPr/>
          <w:p>
            <w:pPr>
              <w:pStyle w:val="Compact"/>
            </w:pPr>
            <w:r>
              <w:t xml:space="preserve">Adjusted operating margin</w:t>
            </w:r>
          </w:p>
        </w:tc>
        <w:tc>
          <w:tcPr/>
          <w:p>
            <w:pPr>
              <w:pStyle w:val="Compact"/>
              <w:jc w:val="right"/>
            </w:pPr>
            <w:r>
              <w:t xml:space="preserve">Approximately</w:t>
            </w:r>
            <w:r>
              <w:t xml:space="preserve"> </w:t>
            </w:r>
            <w:r>
              <w:rPr>
                <w:b/>
                <w:bCs/>
              </w:rPr>
              <w:t xml:space="preserve">19%-19.5%</w:t>
            </w:r>
            <w:r>
              <w:t xml:space="preserve">, inferred</w:t>
            </w:r>
          </w:p>
        </w:tc>
        <w:tc>
          <w:tcPr/>
          <w:p>
            <w:pPr>
              <w:pStyle w:val="Compact"/>
              <w:jc w:val="right"/>
            </w:pPr>
            <w:r>
              <w:t xml:space="preserve">20.1%</w:t>
            </w:r>
          </w:p>
        </w:tc>
        <w:tc>
          <w:tcPr/>
          <w:p>
            <w:pPr>
              <w:pStyle w:val="Compact"/>
              <w:jc w:val="right"/>
            </w:pPr>
            <w:r>
              <w:t xml:space="preserve">Down approximately 60-110 bps</w:t>
            </w:r>
          </w:p>
        </w:tc>
      </w:tr>
    </w:tbl>
    <w:p>
      <w:pPr>
        <w:pStyle w:val="BodyText"/>
      </w:pPr>
      <w:r>
        <w:t xml:space="preserve">Published estimates vary slightly by provider: MarketBeat lists $1.29 of EPS and $2.08 billion of revenue, while TipRanks lists an EPS forecast around $1.32. (</w:t>
      </w:r>
      <w:hyperlink r:id="rId11">
        <w:r>
          <w:rPr>
            <w:rStyle w:val="Hyperlink"/>
          </w:rPr>
          <w:t xml:space="preserve">marketbeat.com</w:t>
        </w:r>
      </w:hyperlink>
      <w:r>
        <w:t xml:space="preserve">)</w:t>
      </w:r>
    </w:p>
    <w:p>
      <w:pPr>
        <w:pStyle w:val="BodyText"/>
      </w:pPr>
      <w:r>
        <w:t xml:space="preserve">The margin estimate is not formal company guidance. It is inferred from management’s expectation that first-half consolidated margin would be approximately flat year over year. Given Q1’s 90-basis-point expansion, that framework points to a Q2 adjusted operating margin near</w:t>
      </w:r>
      <w:r>
        <w:t xml:space="preserve"> </w:t>
      </w:r>
      <w:r>
        <w:rPr>
          <w:b/>
          <w:bCs/>
        </w:rPr>
        <w:t xml:space="preserve">19.4%</w:t>
      </w:r>
      <w:r>
        <w:t xml:space="preserve">, versus 20.1% last year.</w:t>
      </w:r>
    </w:p>
    <w:p>
      <w:r>
        <w:pict>
          <v:rect style="width:0;height:1.5pt" o:hralign="center" o:hrstd="t" o:hr="t"/>
        </w:pict>
      </w:r>
    </w:p>
    <w:bookmarkEnd w:id="12"/>
    <w:bookmarkStart w:id="19" w:name="the-five-issues-that-matter-most"/>
    <w:p>
      <w:pPr>
        <w:pStyle w:val="Heading2"/>
      </w:pPr>
      <w:r>
        <w:t xml:space="preserve">The five issues that matter most</w:t>
      </w:r>
    </w:p>
    <w:bookmarkStart w:id="13" w:name="Xc3bd2bc860ea582da3025ed2d356feab164cb79"/>
    <w:p>
      <w:pPr>
        <w:pStyle w:val="Heading3"/>
      </w:pPr>
      <w:r>
        <w:t xml:space="preserve">1. Can plumbing volumes remain positive?</w:t>
      </w:r>
    </w:p>
    <w:p>
      <w:pPr>
        <w:pStyle w:val="FirstParagraph"/>
      </w:pPr>
      <w:r>
        <w:t xml:space="preserve">Plumbing was the primary source of Q1 upside:</w:t>
      </w:r>
    </w:p>
    <w:p>
      <w:pPr>
        <w:pStyle w:val="Compact"/>
        <w:numPr>
          <w:ilvl w:val="0"/>
          <w:numId w:val="1002"/>
        </w:numPr>
      </w:pPr>
      <w:r>
        <w:t xml:space="preserve">Segment sales rose 9%, or 7% in local currency.</w:t>
      </w:r>
    </w:p>
    <w:p>
      <w:pPr>
        <w:pStyle w:val="Compact"/>
        <w:numPr>
          <w:ilvl w:val="0"/>
          <w:numId w:val="1002"/>
        </w:numPr>
      </w:pPr>
      <w:r>
        <w:t xml:space="preserve">Pricing contributed approximately six percentage points.</w:t>
      </w:r>
    </w:p>
    <w:p>
      <w:pPr>
        <w:pStyle w:val="Compact"/>
        <w:numPr>
          <w:ilvl w:val="0"/>
          <w:numId w:val="1002"/>
        </w:numPr>
      </w:pPr>
      <w:r>
        <w:t xml:space="preserve">Volumes were slightly positive and materially better than management expected.</w:t>
      </w:r>
    </w:p>
    <w:p>
      <w:pPr>
        <w:pStyle w:val="Compact"/>
        <w:numPr>
          <w:ilvl w:val="0"/>
          <w:numId w:val="1002"/>
        </w:numPr>
      </w:pPr>
      <w:r>
        <w:t xml:space="preserve">North American plumbing grew 9% in local currency, with strength across trade, retail, and e-commerce.</w:t>
      </w:r>
    </w:p>
    <w:p>
      <w:pPr>
        <w:pStyle w:val="Compact"/>
        <w:numPr>
          <w:ilvl w:val="0"/>
          <w:numId w:val="1002"/>
        </w:numPr>
      </w:pPr>
      <w:r>
        <w:t xml:space="preserve">Management attributed much of the outperformance to market-share gains, particularly at Delta Faucet, rather than inventory timing or order pull-forward.</w:t>
      </w:r>
    </w:p>
    <w:p>
      <w:pPr>
        <w:pStyle w:val="FirstParagraph"/>
      </w:pPr>
      <w:r>
        <w:t xml:space="preserve">That creates the most important Q2 test:</w:t>
      </w:r>
      <w:r>
        <w:t xml:space="preserve"> </w:t>
      </w:r>
      <w:r>
        <w:rPr>
          <w:b/>
          <w:bCs/>
        </w:rPr>
        <w:t xml:space="preserve">was Q1 volume resilience sustainable, or was it the high point before price comparisons and consumer pressure intensified?</w:t>
      </w:r>
    </w:p>
    <w:p>
      <w:pPr>
        <w:pStyle w:val="BodyText"/>
      </w:pPr>
      <w:r>
        <w:t xml:space="preserve">A constructive print would likely include:</w:t>
      </w:r>
    </w:p>
    <w:p>
      <w:pPr>
        <w:pStyle w:val="Compact"/>
        <w:numPr>
          <w:ilvl w:val="0"/>
          <w:numId w:val="1003"/>
        </w:numPr>
      </w:pPr>
      <w:r>
        <w:t xml:space="preserve">North American plumbing growth in the low- to mid-single digits;</w:t>
      </w:r>
    </w:p>
    <w:p>
      <w:pPr>
        <w:pStyle w:val="Compact"/>
        <w:numPr>
          <w:ilvl w:val="0"/>
          <w:numId w:val="1003"/>
        </w:numPr>
      </w:pPr>
      <w:r>
        <w:t xml:space="preserve">Continued share gains across channels;</w:t>
      </w:r>
    </w:p>
    <w:p>
      <w:pPr>
        <w:pStyle w:val="Compact"/>
        <w:numPr>
          <w:ilvl w:val="0"/>
          <w:numId w:val="1003"/>
        </w:numPr>
      </w:pPr>
      <w:r>
        <w:t xml:space="preserve">No evidence of retailer or distributor destocking;</w:t>
      </w:r>
    </w:p>
    <w:p>
      <w:pPr>
        <w:pStyle w:val="Compact"/>
        <w:numPr>
          <w:ilvl w:val="0"/>
          <w:numId w:val="1003"/>
        </w:numPr>
      </w:pPr>
      <w:r>
        <w:t xml:space="preserve">Stable demand in upper-premium and luxury products; and</w:t>
      </w:r>
    </w:p>
    <w:p>
      <w:pPr>
        <w:pStyle w:val="Compact"/>
        <w:numPr>
          <w:ilvl w:val="0"/>
          <w:numId w:val="1003"/>
        </w:numPr>
      </w:pPr>
      <w:r>
        <w:t xml:space="preserve">Improvement in Europe sufficient to offset continued weakness in China.</w:t>
      </w:r>
    </w:p>
    <w:p>
      <w:pPr>
        <w:pStyle w:val="FirstParagraph"/>
      </w:pPr>
      <w:r>
        <w:t xml:space="preserve">A sharp volume reversal would be more concerning than a modest revenue miss. Masco’s long-term thesis increasingly depends on growing above its end markets, not merely generating EPS through pricing and buybacks.</w:t>
      </w:r>
    </w:p>
    <w:p>
      <w:r>
        <w:pict>
          <v:rect style="width:0;height:1.5pt" o:hralign="center" o:hrstd="t" o:hr="t"/>
        </w:pict>
      </w:r>
    </w:p>
    <w:bookmarkEnd w:id="13"/>
    <w:bookmarkStart w:id="14" w:name="Xbad927e8192de2550147b88b802bceb4e96a561"/>
    <w:p>
      <w:pPr>
        <w:pStyle w:val="Heading3"/>
      </w:pPr>
      <w:r>
        <w:t xml:space="preserve">2. How much Q2 margin compression is acceptable?</w:t>
      </w:r>
    </w:p>
    <w:p>
      <w:pPr>
        <w:pStyle w:val="FirstParagraph"/>
      </w:pPr>
      <w:r>
        <w:t xml:space="preserve">Q2 2025 was an unusually strong comparison:</w:t>
      </w:r>
    </w:p>
    <w:p>
      <w:pPr>
        <w:pStyle w:val="Compact"/>
        <w:numPr>
          <w:ilvl w:val="0"/>
          <w:numId w:val="1004"/>
        </w:numPr>
      </w:pPr>
      <w:r>
        <w:t xml:space="preserve">Consolidated adjusted operating margin was 20.1%.</w:t>
      </w:r>
    </w:p>
    <w:p>
      <w:pPr>
        <w:pStyle w:val="Compact"/>
        <w:numPr>
          <w:ilvl w:val="0"/>
          <w:numId w:val="1004"/>
        </w:numPr>
      </w:pPr>
      <w:r>
        <w:t xml:space="preserve">Plumbing adjusted margin was 21.0%.</w:t>
      </w:r>
    </w:p>
    <w:p>
      <w:pPr>
        <w:pStyle w:val="Compact"/>
        <w:numPr>
          <w:ilvl w:val="0"/>
          <w:numId w:val="1004"/>
        </w:numPr>
      </w:pPr>
      <w:r>
        <w:t xml:space="preserve">Decorative Architectural margin was 21.3%.</w:t>
      </w:r>
    </w:p>
    <w:p>
      <w:pPr>
        <w:pStyle w:val="FirstParagraph"/>
      </w:pPr>
      <w:r>
        <w:t xml:space="preserve">Management already warned that Q2 margin would decline year over year, partly because the prior-year quarter had not yet absorbed the full tariff burden. The issue is therefore not whether margins decline, but</w:t>
      </w:r>
      <w:r>
        <w:t xml:space="preserve"> </w:t>
      </w:r>
      <w:r>
        <w:rPr>
          <w:b/>
          <w:bCs/>
        </w:rPr>
        <w:t xml:space="preserve">whether the contraction is consistent with the planned first-half cadence</w:t>
      </w:r>
      <w:r>
        <w:t xml:space="preserve">.</w:t>
      </w:r>
    </w:p>
    <w:p>
      <w:pPr>
        <w:pStyle w:val="BodyText"/>
      </w:pPr>
      <w:r>
        <w:t xml:space="preserve">A consolidated result around</w:t>
      </w:r>
      <w:r>
        <w:t xml:space="preserve"> </w:t>
      </w:r>
      <w:r>
        <w:rPr>
          <w:b/>
          <w:bCs/>
        </w:rPr>
        <w:t xml:space="preserve">19%-19.5%</w:t>
      </w:r>
      <w:r>
        <w:t xml:space="preserve"> </w:t>
      </w:r>
      <w:r>
        <w:t xml:space="preserve">would probably be acceptable, especially if management maintains its full-year target of approximately 17%. A result materially below 19% would raise questions about:</w:t>
      </w:r>
    </w:p>
    <w:p>
      <w:pPr>
        <w:pStyle w:val="Compact"/>
        <w:numPr>
          <w:ilvl w:val="0"/>
          <w:numId w:val="1005"/>
        </w:numPr>
      </w:pPr>
      <w:r>
        <w:t xml:space="preserve">Incremental commodity inflation;</w:t>
      </w:r>
    </w:p>
    <w:p>
      <w:pPr>
        <w:pStyle w:val="Compact"/>
        <w:numPr>
          <w:ilvl w:val="0"/>
          <w:numId w:val="1005"/>
        </w:numPr>
      </w:pPr>
      <w:r>
        <w:t xml:space="preserve">The timing and effectiveness of pricing;</w:t>
      </w:r>
    </w:p>
    <w:p>
      <w:pPr>
        <w:pStyle w:val="Compact"/>
        <w:numPr>
          <w:ilvl w:val="0"/>
          <w:numId w:val="1005"/>
        </w:numPr>
      </w:pPr>
      <w:r>
        <w:t xml:space="preserve">Restructuring savings;</w:t>
      </w:r>
    </w:p>
    <w:p>
      <w:pPr>
        <w:pStyle w:val="Compact"/>
        <w:numPr>
          <w:ilvl w:val="0"/>
          <w:numId w:val="1005"/>
        </w:numPr>
      </w:pPr>
      <w:r>
        <w:t xml:space="preserve">Manufacturing and procurement productivity; and</w:t>
      </w:r>
    </w:p>
    <w:p>
      <w:pPr>
        <w:pStyle w:val="Compact"/>
        <w:numPr>
          <w:ilvl w:val="0"/>
          <w:numId w:val="1005"/>
        </w:numPr>
      </w:pPr>
      <w:r>
        <w:t xml:space="preserve">Whether the promised second-half margin expansion remains realistic.</w:t>
      </w:r>
    </w:p>
    <w:p>
      <w:pPr>
        <w:pStyle w:val="FirstParagraph"/>
      </w:pPr>
      <w:r>
        <w:t xml:space="preserve">Investors should distinguish between planned comparison-driven contraction and genuine deterioration in the underlying price/cost equation.</w:t>
      </w:r>
    </w:p>
    <w:p>
      <w:r>
        <w:pict>
          <v:rect style="width:0;height:1.5pt" o:hralign="center" o:hrstd="t" o:hr="t"/>
        </w:pict>
      </w:r>
    </w:p>
    <w:bookmarkEnd w:id="14"/>
    <w:bookmarkStart w:id="15" w:name="Xaafe410d525853b1d66d37eba4ad8bbf560bc6d"/>
    <w:p>
      <w:pPr>
        <w:pStyle w:val="Heading3"/>
      </w:pPr>
      <w:r>
        <w:t xml:space="preserve">3. Commodity inflation is replacing tariffs as the central earnings risk</w:t>
      </w:r>
    </w:p>
    <w:p>
      <w:pPr>
        <w:pStyle w:val="FirstParagraph"/>
      </w:pPr>
      <w:r>
        <w:t xml:space="preserve">At Q1, management said changes to tariff policy had become somewhat more favorable than initially expected. However, that benefit was expected to be offset—and potentially more than offset—by higher commodity and related input costs.</w:t>
      </w:r>
    </w:p>
    <w:p>
      <w:pPr>
        <w:pStyle w:val="BodyText"/>
      </w:pPr>
      <w:r>
        <w:t xml:space="preserve">The relevant exposures include:</w:t>
      </w:r>
    </w:p>
    <w:p>
      <w:pPr>
        <w:pStyle w:val="Compact"/>
        <w:numPr>
          <w:ilvl w:val="0"/>
          <w:numId w:val="1006"/>
        </w:numPr>
      </w:pPr>
      <w:r>
        <w:rPr>
          <w:b/>
          <w:bCs/>
        </w:rPr>
        <w:t xml:space="preserve">Copper and zinc:</w:t>
      </w:r>
      <w:r>
        <w:t xml:space="preserve"> </w:t>
      </w:r>
      <w:r>
        <w:t xml:space="preserve">most important to plumbing, with a lag before higher spot prices move through inventory and cost of sales.</w:t>
      </w:r>
    </w:p>
    <w:p>
      <w:pPr>
        <w:pStyle w:val="Compact"/>
        <w:numPr>
          <w:ilvl w:val="0"/>
          <w:numId w:val="1006"/>
        </w:numPr>
      </w:pPr>
      <w:r>
        <w:rPr>
          <w:b/>
          <w:bCs/>
        </w:rPr>
        <w:t xml:space="preserve">Oil and petrochemicals:</w:t>
      </w:r>
      <w:r>
        <w:t xml:space="preserve"> </w:t>
      </w:r>
      <w:r>
        <w:t xml:space="preserve">affecting resins, packaging, logistics, and particularly the Decorative Architectural segment.</w:t>
      </w:r>
    </w:p>
    <w:p>
      <w:pPr>
        <w:pStyle w:val="Compact"/>
        <w:numPr>
          <w:ilvl w:val="0"/>
          <w:numId w:val="1006"/>
        </w:numPr>
      </w:pPr>
      <w:r>
        <w:rPr>
          <w:b/>
          <w:bCs/>
        </w:rPr>
        <w:t xml:space="preserve">Freight:</w:t>
      </w:r>
      <w:r>
        <w:t xml:space="preserve"> </w:t>
      </w:r>
      <w:r>
        <w:t xml:space="preserve">another channel through which higher energy prices can pressure margins.</w:t>
      </w:r>
    </w:p>
    <w:p>
      <w:pPr>
        <w:pStyle w:val="Compact"/>
        <w:numPr>
          <w:ilvl w:val="0"/>
          <w:numId w:val="1006"/>
        </w:numPr>
      </w:pPr>
      <w:r>
        <w:rPr>
          <w:b/>
          <w:bCs/>
        </w:rPr>
        <w:t xml:space="preserve">Wages and general inflation:</w:t>
      </w:r>
      <w:r>
        <w:t xml:space="preserve"> </w:t>
      </w:r>
      <w:r>
        <w:t xml:space="preserve">management expected total company input inflation in the mid-single-digit range.</w:t>
      </w:r>
    </w:p>
    <w:p>
      <w:pPr>
        <w:pStyle w:val="FirstParagraph"/>
      </w:pPr>
      <w:r>
        <w:t xml:space="preserve">Q2 commentary may matter more than the reported expense itself because plumbing commodity costs generally reach the income statement with a delay. Management previously characterized much of the copper and zinc impact as a</w:t>
      </w:r>
      <w:r>
        <w:t xml:space="preserve"> </w:t>
      </w:r>
      <w:r>
        <w:rPr>
          <w:b/>
          <w:bCs/>
        </w:rPr>
        <w:t xml:space="preserve">second-half 2026 issue</w:t>
      </w:r>
      <w:r>
        <w:t xml:space="preserve">.</w:t>
      </w:r>
    </w:p>
    <w:p>
      <w:pPr>
        <w:pStyle w:val="BodyText"/>
      </w:pPr>
      <w:r>
        <w:t xml:space="preserve">Key questions for the call:</w:t>
      </w:r>
    </w:p>
    <w:p>
      <w:pPr>
        <w:pStyle w:val="Compact"/>
        <w:numPr>
          <w:ilvl w:val="0"/>
          <w:numId w:val="1007"/>
        </w:numPr>
      </w:pPr>
      <w:r>
        <w:t xml:space="preserve">Has the total commodity headwind increased since April?</w:t>
      </w:r>
    </w:p>
    <w:p>
      <w:pPr>
        <w:pStyle w:val="Compact"/>
        <w:numPr>
          <w:ilvl w:val="0"/>
          <w:numId w:val="1007"/>
        </w:numPr>
      </w:pPr>
      <w:r>
        <w:t xml:space="preserve">Has Masco implemented or announced additional pricing?</w:t>
      </w:r>
    </w:p>
    <w:p>
      <w:pPr>
        <w:pStyle w:val="Compact"/>
        <w:numPr>
          <w:ilvl w:val="0"/>
          <w:numId w:val="1007"/>
        </w:numPr>
      </w:pPr>
      <w:r>
        <w:t xml:space="preserve">Can procurement, sourcing changes, and restructuring offset the pressure without sacrificing investment?</w:t>
      </w:r>
    </w:p>
    <w:p>
      <w:pPr>
        <w:pStyle w:val="Compact"/>
        <w:numPr>
          <w:ilvl w:val="0"/>
          <w:numId w:val="1007"/>
        </w:numPr>
      </w:pPr>
      <w:r>
        <w:t xml:space="preserve">Is full-year price/cost still expected to be positive in plumbing?</w:t>
      </w:r>
    </w:p>
    <w:p>
      <w:pPr>
        <w:pStyle w:val="Compact"/>
        <w:numPr>
          <w:ilvl w:val="0"/>
          <w:numId w:val="1007"/>
        </w:numPr>
      </w:pPr>
      <w:r>
        <w:t xml:space="preserve">Does Decorative Architectural remain structurally price/cost neutral under its retail arrangements?</w:t>
      </w:r>
    </w:p>
    <w:p>
      <w:r>
        <w:pict>
          <v:rect style="width:0;height:1.5pt" o:hralign="center" o:hrstd="t" o:hr="t"/>
        </w:pict>
      </w:r>
    </w:p>
    <w:bookmarkEnd w:id="15"/>
    <w:bookmarkStart w:id="16" w:name="X8df2164c886fdd4c4f2097e225f484e77caf9ee"/>
    <w:p>
      <w:pPr>
        <w:pStyle w:val="Heading3"/>
      </w:pPr>
      <w:r>
        <w:t xml:space="preserve">4. Behr needs to show stabilization, even if DIY remains weak</w:t>
      </w:r>
    </w:p>
    <w:p>
      <w:pPr>
        <w:pStyle w:val="FirstParagraph"/>
      </w:pPr>
      <w:r>
        <w:t xml:space="preserve">Decorative Architectural sales were flat in Q1:</w:t>
      </w:r>
    </w:p>
    <w:p>
      <w:pPr>
        <w:pStyle w:val="Compact"/>
        <w:numPr>
          <w:ilvl w:val="0"/>
          <w:numId w:val="1008"/>
        </w:numPr>
      </w:pPr>
      <w:r>
        <w:t xml:space="preserve">Professional paint grew at a mid-single-digit rate.</w:t>
      </w:r>
    </w:p>
    <w:p>
      <w:pPr>
        <w:pStyle w:val="Compact"/>
        <w:numPr>
          <w:ilvl w:val="0"/>
          <w:numId w:val="1008"/>
        </w:numPr>
      </w:pPr>
      <w:r>
        <w:t xml:space="preserve">DIY paint declined at a low-single-digit rate.</w:t>
      </w:r>
    </w:p>
    <w:p>
      <w:pPr>
        <w:pStyle w:val="Compact"/>
        <w:numPr>
          <w:ilvl w:val="0"/>
          <w:numId w:val="1008"/>
        </w:numPr>
      </w:pPr>
      <w:r>
        <w:t xml:space="preserve">Segment adjusted margin expanded to 19%, helped by cost savings, restructuring, pricing, and portfolio-reporting changes.</w:t>
      </w:r>
    </w:p>
    <w:p>
      <w:pPr>
        <w:pStyle w:val="FirstParagraph"/>
      </w:pPr>
      <w:r>
        <w:t xml:space="preserve">Management’s full-year assumptions were for:</w:t>
      </w:r>
    </w:p>
    <w:p>
      <w:pPr>
        <w:pStyle w:val="Compact"/>
        <w:numPr>
          <w:ilvl w:val="0"/>
          <w:numId w:val="1009"/>
        </w:numPr>
      </w:pPr>
      <w:r>
        <w:t xml:space="preserve">Approximately flat segment sales;</w:t>
      </w:r>
    </w:p>
    <w:p>
      <w:pPr>
        <w:pStyle w:val="Compact"/>
        <w:numPr>
          <w:ilvl w:val="0"/>
          <w:numId w:val="1009"/>
        </w:numPr>
      </w:pPr>
      <w:r>
        <w:t xml:space="preserve">Mid-single-digit growth in Pro paint;</w:t>
      </w:r>
    </w:p>
    <w:p>
      <w:pPr>
        <w:pStyle w:val="Compact"/>
        <w:numPr>
          <w:ilvl w:val="0"/>
          <w:numId w:val="1009"/>
        </w:numPr>
      </w:pPr>
      <w:r>
        <w:t xml:space="preserve">A mid-single-digit decline in DIY paint; and</w:t>
      </w:r>
    </w:p>
    <w:p>
      <w:pPr>
        <w:pStyle w:val="Compact"/>
        <w:numPr>
          <w:ilvl w:val="0"/>
          <w:numId w:val="1009"/>
        </w:numPr>
      </w:pPr>
      <w:r>
        <w:t xml:space="preserve">Approximately 19% segment margin.</w:t>
      </w:r>
    </w:p>
    <w:p>
      <w:pPr>
        <w:pStyle w:val="FirstParagraph"/>
      </w:pPr>
      <w:r>
        <w:t xml:space="preserve">The best Q2 outcome is not necessarily renewed DIY growth. It is evidence that</w:t>
      </w:r>
      <w:r>
        <w:t xml:space="preserve"> </w:t>
      </w:r>
      <w:r>
        <w:rPr>
          <w:b/>
          <w:bCs/>
        </w:rPr>
        <w:t xml:space="preserve">Behr can offset a structurally pressured DIY market with Pro share gains, cost discipline, and stable economics</w:t>
      </w:r>
      <w:r>
        <w:t xml:space="preserve">.</w:t>
      </w:r>
    </w:p>
    <w:p>
      <w:pPr>
        <w:pStyle w:val="BodyText"/>
      </w:pPr>
      <w:r>
        <w:t xml:space="preserve">Watch for:</w:t>
      </w:r>
    </w:p>
    <w:p>
      <w:pPr>
        <w:pStyle w:val="Compact"/>
        <w:numPr>
          <w:ilvl w:val="0"/>
          <w:numId w:val="1010"/>
        </w:numPr>
      </w:pPr>
      <w:r>
        <w:t xml:space="preserve">Whether DIY weakened from Q1’s low-single-digit decline;</w:t>
      </w:r>
    </w:p>
    <w:p>
      <w:pPr>
        <w:pStyle w:val="Compact"/>
        <w:numPr>
          <w:ilvl w:val="0"/>
          <w:numId w:val="1010"/>
        </w:numPr>
      </w:pPr>
      <w:r>
        <w:t xml:space="preserve">Continued mid-single-digit Pro growth;</w:t>
      </w:r>
    </w:p>
    <w:p>
      <w:pPr>
        <w:pStyle w:val="Compact"/>
        <w:numPr>
          <w:ilvl w:val="0"/>
          <w:numId w:val="1010"/>
        </w:numPr>
      </w:pPr>
      <w:r>
        <w:t xml:space="preserve">Progress in Home Depot-related Pro services, sales coverage, delivery, and digital ordering;</w:t>
      </w:r>
    </w:p>
    <w:p>
      <w:pPr>
        <w:pStyle w:val="Compact"/>
        <w:numPr>
          <w:ilvl w:val="0"/>
          <w:numId w:val="1010"/>
        </w:numPr>
      </w:pPr>
      <w:r>
        <w:t xml:space="preserve">Resin inflation and potential paint pricing;</w:t>
      </w:r>
    </w:p>
    <w:p>
      <w:pPr>
        <w:pStyle w:val="Compact"/>
        <w:numPr>
          <w:ilvl w:val="0"/>
          <w:numId w:val="1010"/>
        </w:numPr>
      </w:pPr>
      <w:r>
        <w:t xml:space="preserve">Whether the 19% full-year margin target remains intact.</w:t>
      </w:r>
    </w:p>
    <w:p>
      <w:pPr>
        <w:pStyle w:val="FirstParagraph"/>
      </w:pPr>
      <w:r>
        <w:t xml:space="preserve">The long-term opportunity is substantial because Behr has less than 10% share in the much larger professional-paint market. But near-term investors need evidence that investment in Pro growth is generating incremental sales rather than simply adding expense.</w:t>
      </w:r>
    </w:p>
    <w:p>
      <w:r>
        <w:pict>
          <v:rect style="width:0;height:1.5pt" o:hralign="center" o:hrstd="t" o:hr="t"/>
        </w:pict>
      </w:r>
    </w:p>
    <w:bookmarkEnd w:id="16"/>
    <w:bookmarkStart w:id="17" w:name="X1d93f952f3e2f68f0fa4bd82f6c4e7114350cc9"/>
    <w:p>
      <w:pPr>
        <w:pStyle w:val="Heading3"/>
      </w:pPr>
      <w:r>
        <w:t xml:space="preserve">5. Guidance—and the quality of that guidance—will drive the stock</w:t>
      </w:r>
    </w:p>
    <w:p>
      <w:pPr>
        <w:pStyle w:val="FirstParagraph"/>
      </w:pPr>
      <w:r>
        <w:t xml:space="preserve">Masco entered the report with 2026 guidance for:</w:t>
      </w:r>
    </w:p>
    <w:p>
      <w:pPr>
        <w:pStyle w:val="Compact"/>
        <w:numPr>
          <w:ilvl w:val="0"/>
          <w:numId w:val="1011"/>
        </w:numPr>
      </w:pPr>
      <w:r>
        <w:rPr>
          <w:b/>
          <w:bCs/>
        </w:rPr>
        <w:t xml:space="preserve">Adjusted EPS:</w:t>
      </w:r>
      <w:r>
        <w:t xml:space="preserve"> </w:t>
      </w:r>
      <m:oMath>
        <m:r>
          <m:t>4.10</m:t>
        </m:r>
        <m:r>
          <m:rPr>
            <m:sty m:val="p"/>
          </m:rPr>
          <m:t>−</m:t>
        </m:r>
      </m:oMath>
      <w:r>
        <w:t xml:space="preserve">4.30;</w:t>
      </w:r>
    </w:p>
    <w:p>
      <w:pPr>
        <w:pStyle w:val="Compact"/>
        <w:numPr>
          <w:ilvl w:val="0"/>
          <w:numId w:val="1011"/>
        </w:numPr>
      </w:pPr>
      <w:r>
        <w:rPr>
          <w:b/>
          <w:bCs/>
        </w:rPr>
        <w:t xml:space="preserve">Sales:</w:t>
      </w:r>
      <w:r>
        <w:t xml:space="preserve"> </w:t>
      </w:r>
      <w:r>
        <w:t xml:space="preserve">up low single digits;</w:t>
      </w:r>
    </w:p>
    <w:p>
      <w:pPr>
        <w:pStyle w:val="Compact"/>
        <w:numPr>
          <w:ilvl w:val="0"/>
          <w:numId w:val="1011"/>
        </w:numPr>
      </w:pPr>
      <w:r>
        <w:rPr>
          <w:b/>
          <w:bCs/>
        </w:rPr>
        <w:t xml:space="preserve">Consolidated adjusted operating margin:</w:t>
      </w:r>
      <w:r>
        <w:t xml:space="preserve"> </w:t>
      </w:r>
      <w:r>
        <w:t xml:space="preserve">approximately 17%;</w:t>
      </w:r>
    </w:p>
    <w:p>
      <w:pPr>
        <w:pStyle w:val="Compact"/>
        <w:numPr>
          <w:ilvl w:val="0"/>
          <w:numId w:val="1011"/>
        </w:numPr>
      </w:pPr>
      <w:r>
        <w:rPr>
          <w:b/>
          <w:bCs/>
        </w:rPr>
        <w:t xml:space="preserve">Plumbing sales:</w:t>
      </w:r>
      <w:r>
        <w:t xml:space="preserve"> </w:t>
      </w:r>
      <w:r>
        <w:t xml:space="preserve">up low single digits;</w:t>
      </w:r>
    </w:p>
    <w:p>
      <w:pPr>
        <w:pStyle w:val="Compact"/>
        <w:numPr>
          <w:ilvl w:val="0"/>
          <w:numId w:val="1011"/>
        </w:numPr>
      </w:pPr>
      <w:r>
        <w:rPr>
          <w:b/>
          <w:bCs/>
        </w:rPr>
        <w:t xml:space="preserve">Plumbing margin:</w:t>
      </w:r>
      <w:r>
        <w:t xml:space="preserve"> </w:t>
      </w:r>
      <w:r>
        <w:t xml:space="preserve">approximately 18%;</w:t>
      </w:r>
    </w:p>
    <w:p>
      <w:pPr>
        <w:pStyle w:val="Compact"/>
        <w:numPr>
          <w:ilvl w:val="0"/>
          <w:numId w:val="1011"/>
        </w:numPr>
      </w:pPr>
      <w:r>
        <w:rPr>
          <w:b/>
          <w:bCs/>
        </w:rPr>
        <w:t xml:space="preserve">Decorative Architectural sales:</w:t>
      </w:r>
      <w:r>
        <w:t xml:space="preserve"> </w:t>
      </w:r>
      <w:r>
        <w:t xml:space="preserve">roughly flat;</w:t>
      </w:r>
    </w:p>
    <w:p>
      <w:pPr>
        <w:pStyle w:val="Compact"/>
        <w:numPr>
          <w:ilvl w:val="0"/>
          <w:numId w:val="1011"/>
        </w:numPr>
      </w:pPr>
      <w:r>
        <w:rPr>
          <w:b/>
          <w:bCs/>
        </w:rPr>
        <w:t xml:space="preserve">Decorative Architectural margin:</w:t>
      </w:r>
      <w:r>
        <w:t xml:space="preserve"> </w:t>
      </w:r>
      <w:r>
        <w:t xml:space="preserve">approximately 19%;</w:t>
      </w:r>
    </w:p>
    <w:p>
      <w:pPr>
        <w:pStyle w:val="Compact"/>
        <w:numPr>
          <w:ilvl w:val="0"/>
          <w:numId w:val="1011"/>
        </w:numPr>
      </w:pPr>
      <w:r>
        <w:rPr>
          <w:b/>
          <w:bCs/>
        </w:rPr>
        <w:t xml:space="preserve">Share repurchases or acquisitions:</w:t>
      </w:r>
      <w:r>
        <w:t xml:space="preserve"> </w:t>
      </w:r>
      <w:r>
        <w:t xml:space="preserve">at least $800 million; and</w:t>
      </w:r>
    </w:p>
    <w:p>
      <w:pPr>
        <w:pStyle w:val="Compact"/>
        <w:numPr>
          <w:ilvl w:val="0"/>
          <w:numId w:val="1011"/>
        </w:numPr>
      </w:pPr>
      <w:r>
        <w:rPr>
          <w:b/>
          <w:bCs/>
        </w:rPr>
        <w:t xml:space="preserve">Average diluted shares:</w:t>
      </w:r>
      <w:r>
        <w:t xml:space="preserve"> </w:t>
      </w:r>
      <w:r>
        <w:t xml:space="preserve">approximately 200 million.</w:t>
      </w:r>
    </w:p>
    <w:p>
      <w:pPr>
        <w:pStyle w:val="FirstParagraph"/>
      </w:pPr>
      <w:r>
        <w:t xml:space="preserve">With Q1 adjusted EPS of $1.04 and consensus Q2 EPS near $1.29, first-half EPS would be approximately $2.33. That would leave the following second-half requirements: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Full-year outcome</w:t>
            </w:r>
          </w:p>
        </w:tc>
        <w:tc>
          <w:tcPr/>
          <w:p>
            <w:pPr>
              <w:pStyle w:val="Compact"/>
              <w:jc w:val="right"/>
            </w:pPr>
            <w:r>
              <w:t xml:space="preserve">Required H2 adjusted EPS</w:t>
            </w:r>
          </w:p>
        </w:tc>
        <w:tc>
          <w:tcPr/>
          <w:p>
            <w:pPr>
              <w:pStyle w:val="Compact"/>
              <w:jc w:val="right"/>
            </w:pPr>
            <w:r>
              <w:t xml:space="preserve">Approximate change from H2 2025</w:t>
            </w:r>
          </w:p>
        </w:tc>
      </w:tr>
      <w:tr>
        <w:tc>
          <w:tcPr/>
          <w:p>
            <w:pPr>
              <w:pStyle w:val="Compact"/>
            </w:pPr>
            <w:r>
              <w:t xml:space="preserve">$4.10 low end</w:t>
            </w:r>
          </w:p>
        </w:tc>
        <w:tc>
          <w:tcPr/>
          <w:p>
            <w:pPr>
              <w:pStyle w:val="Compact"/>
              <w:jc w:val="right"/>
            </w:pPr>
            <w:r>
              <w:t xml:space="preserve">$1.77</w:t>
            </w:r>
          </w:p>
        </w:tc>
        <w:tc>
          <w:tcPr/>
          <w:p>
            <w:pPr>
              <w:pStyle w:val="Compact"/>
              <w:jc w:val="right"/>
            </w:pPr>
            <w:r>
              <w:t xml:space="preserve">Slightly lower</w:t>
            </w:r>
          </w:p>
        </w:tc>
      </w:tr>
      <w:tr>
        <w:tc>
          <w:tcPr/>
          <w:p>
            <w:pPr>
              <w:pStyle w:val="Compact"/>
            </w:pPr>
            <w:r>
              <w:t xml:space="preserve">$4.20 midpoint</w:t>
            </w:r>
          </w:p>
        </w:tc>
        <w:tc>
          <w:tcPr/>
          <w:p>
            <w:pPr>
              <w:pStyle w:val="Compact"/>
              <w:jc w:val="right"/>
            </w:pPr>
            <w:r>
              <w:t xml:space="preserve">$1.87</w:t>
            </w:r>
          </w:p>
        </w:tc>
        <w:tc>
          <w:tcPr/>
          <w:p>
            <w:pPr>
              <w:pStyle w:val="Compact"/>
              <w:jc w:val="right"/>
            </w:pPr>
            <w:r>
              <w:t xml:space="preserve">Approximately +4%</w:t>
            </w:r>
          </w:p>
        </w:tc>
      </w:tr>
      <w:tr>
        <w:tc>
          <w:tcPr/>
          <w:p>
            <w:pPr>
              <w:pStyle w:val="Compact"/>
            </w:pPr>
            <w:r>
              <w:t xml:space="preserve">$4.30 high end</w:t>
            </w:r>
          </w:p>
        </w:tc>
        <w:tc>
          <w:tcPr/>
          <w:p>
            <w:pPr>
              <w:pStyle w:val="Compact"/>
              <w:jc w:val="right"/>
            </w:pPr>
            <w:r>
              <w:t xml:space="preserve">$1.97</w:t>
            </w:r>
          </w:p>
        </w:tc>
        <w:tc>
          <w:tcPr/>
          <w:p>
            <w:pPr>
              <w:pStyle w:val="Compact"/>
              <w:jc w:val="right"/>
            </w:pPr>
            <w:r>
              <w:t xml:space="preserve">Approximately +9%</w:t>
            </w:r>
          </w:p>
        </w:tc>
      </w:tr>
    </w:tbl>
    <w:p>
      <w:pPr>
        <w:pStyle w:val="BodyText"/>
      </w:pPr>
      <w:r>
        <w:t xml:space="preserve">This suggests the existing range remains achievable, but the upper end requires meaningful second-half growth despite the expected commodity headwinds.</w:t>
      </w:r>
    </w:p>
    <w:bookmarkEnd w:id="17"/>
    <w:bookmarkStart w:id="18" w:name="guidance-scenarios"/>
    <w:p>
      <w:pPr>
        <w:pStyle w:val="Heading3"/>
      </w:pPr>
      <w:r>
        <w:t xml:space="preserve">Guidance scenarios</w:t>
      </w:r>
    </w:p>
    <w:p>
      <w:pPr>
        <w:pStyle w:val="FirstParagraph"/>
      </w:pPr>
      <w:r>
        <w:rPr>
          <w:b/>
          <w:bCs/>
        </w:rPr>
        <w:t xml:space="preserve">Bull case</w:t>
      </w:r>
    </w:p>
    <w:p>
      <w:pPr>
        <w:pStyle w:val="Compact"/>
        <w:numPr>
          <w:ilvl w:val="0"/>
          <w:numId w:val="1012"/>
        </w:numPr>
      </w:pPr>
      <w:r>
        <w:t xml:space="preserve">Q2 EPS exceeds approximately $1.32.</w:t>
      </w:r>
    </w:p>
    <w:p>
      <w:pPr>
        <w:pStyle w:val="Compact"/>
        <w:numPr>
          <w:ilvl w:val="0"/>
          <w:numId w:val="1012"/>
        </w:numPr>
      </w:pPr>
      <w:r>
        <w:t xml:space="preserve">Plumbing volumes stay positive.</w:t>
      </w:r>
    </w:p>
    <w:p>
      <w:pPr>
        <w:pStyle w:val="Compact"/>
        <w:numPr>
          <w:ilvl w:val="0"/>
          <w:numId w:val="1012"/>
        </w:numPr>
      </w:pPr>
      <w:r>
        <w:t xml:space="preserve">Margin is near or above 19.5%.</w:t>
      </w:r>
    </w:p>
    <w:p>
      <w:pPr>
        <w:pStyle w:val="Compact"/>
        <w:numPr>
          <w:ilvl w:val="0"/>
          <w:numId w:val="1012"/>
        </w:numPr>
      </w:pPr>
      <w:r>
        <w:t xml:space="preserve">Management raises the low end or the full range.</w:t>
      </w:r>
    </w:p>
    <w:p>
      <w:pPr>
        <w:pStyle w:val="Compact"/>
        <w:numPr>
          <w:ilvl w:val="0"/>
          <w:numId w:val="1012"/>
        </w:numPr>
      </w:pPr>
      <w:r>
        <w:t xml:space="preserve">Commentary implies commodities are manageable through savings and pricing.</w:t>
      </w:r>
    </w:p>
    <w:p>
      <w:pPr>
        <w:pStyle w:val="Compact"/>
        <w:numPr>
          <w:ilvl w:val="0"/>
          <w:numId w:val="1012"/>
        </w:numPr>
      </w:pPr>
      <w:r>
        <w:t xml:space="preserve">Full-year buybacks exceed $800 million.</w:t>
      </w:r>
    </w:p>
    <w:p>
      <w:pPr>
        <w:pStyle w:val="FirstParagraph"/>
      </w:pPr>
      <w:r>
        <w:rPr>
          <w:b/>
          <w:bCs/>
        </w:rPr>
        <w:t xml:space="preserve">Base case</w:t>
      </w:r>
    </w:p>
    <w:p>
      <w:pPr>
        <w:pStyle w:val="Compact"/>
        <w:numPr>
          <w:ilvl w:val="0"/>
          <w:numId w:val="1013"/>
        </w:numPr>
      </w:pPr>
      <w:r>
        <w:t xml:space="preserve">Revenue and EPS are close to consensus.</w:t>
      </w:r>
    </w:p>
    <w:p>
      <w:pPr>
        <w:pStyle w:val="Compact"/>
        <w:numPr>
          <w:ilvl w:val="0"/>
          <w:numId w:val="1013"/>
        </w:numPr>
      </w:pPr>
      <w:r>
        <w:t xml:space="preserve">Q2 margin declines as forecast but remains near 19%-19.5%.</w:t>
      </w:r>
    </w:p>
    <w:p>
      <w:pPr>
        <w:pStyle w:val="Compact"/>
        <w:numPr>
          <w:ilvl w:val="0"/>
          <w:numId w:val="1013"/>
        </w:numPr>
      </w:pPr>
      <w:r>
        <w:t xml:space="preserve">Full-year guidance is reiterated.</w:t>
      </w:r>
    </w:p>
    <w:p>
      <w:pPr>
        <w:pStyle w:val="Compact"/>
        <w:numPr>
          <w:ilvl w:val="0"/>
          <w:numId w:val="1013"/>
        </w:numPr>
      </w:pPr>
      <w:r>
        <w:t xml:space="preserve">Management remains confident in second-half margin expansion but highlights continued uncertainty.</w:t>
      </w:r>
    </w:p>
    <w:p>
      <w:pPr>
        <w:pStyle w:val="Compact"/>
        <w:numPr>
          <w:ilvl w:val="0"/>
          <w:numId w:val="1013"/>
        </w:numPr>
      </w:pPr>
      <w:r>
        <w:t xml:space="preserve">The stock reaction depends heavily on the tone around plumbing demand and input costs.</w:t>
      </w:r>
    </w:p>
    <w:p>
      <w:pPr>
        <w:pStyle w:val="FirstParagraph"/>
      </w:pPr>
      <w:r>
        <w:rPr>
          <w:b/>
          <w:bCs/>
        </w:rPr>
        <w:t xml:space="preserve">Bear case</w:t>
      </w:r>
    </w:p>
    <w:p>
      <w:pPr>
        <w:pStyle w:val="Compact"/>
        <w:numPr>
          <w:ilvl w:val="0"/>
          <w:numId w:val="1014"/>
        </w:numPr>
      </w:pPr>
      <w:r>
        <w:t xml:space="preserve">Plumbing volumes turn meaningfully negative.</w:t>
      </w:r>
    </w:p>
    <w:p>
      <w:pPr>
        <w:pStyle w:val="Compact"/>
        <w:numPr>
          <w:ilvl w:val="0"/>
          <w:numId w:val="1014"/>
        </w:numPr>
      </w:pPr>
      <w:r>
        <w:t xml:space="preserve">DIY paint weakens beyond management’s assumptions.</w:t>
      </w:r>
    </w:p>
    <w:p>
      <w:pPr>
        <w:pStyle w:val="Compact"/>
        <w:numPr>
          <w:ilvl w:val="0"/>
          <w:numId w:val="1014"/>
        </w:numPr>
      </w:pPr>
      <w:r>
        <w:t xml:space="preserve">Q2 margin falls below approximately 19%.</w:t>
      </w:r>
    </w:p>
    <w:p>
      <w:pPr>
        <w:pStyle w:val="Compact"/>
        <w:numPr>
          <w:ilvl w:val="0"/>
          <w:numId w:val="1014"/>
        </w:numPr>
      </w:pPr>
      <w:r>
        <w:t xml:space="preserve">Commodity inflation forces a guide reduction or makes the $4.30 high end unrealistic.</w:t>
      </w:r>
    </w:p>
    <w:p>
      <w:pPr>
        <w:pStyle w:val="Compact"/>
        <w:numPr>
          <w:ilvl w:val="0"/>
          <w:numId w:val="1014"/>
        </w:numPr>
      </w:pPr>
      <w:r>
        <w:t xml:space="preserve">Working capital remains elevated, limiting cash conversion.</w:t>
      </w:r>
    </w:p>
    <w:p>
      <w:pPr>
        <w:pStyle w:val="Compact"/>
        <w:numPr>
          <w:ilvl w:val="0"/>
          <w:numId w:val="1014"/>
        </w:numPr>
      </w:pPr>
      <w:r>
        <w:t xml:space="preserve">Management relies primarily on buybacks rather than operating-profit growth to support EPS.</w:t>
      </w:r>
    </w:p>
    <w:p>
      <w:r>
        <w:pict>
          <v:rect style="width:0;height:1.5pt" o:hralign="center" o:hrstd="t" o:hr="t"/>
        </w:pict>
      </w:r>
    </w:p>
    <w:bookmarkEnd w:id="18"/>
    <w:bookmarkEnd w:id="19"/>
    <w:bookmarkStart w:id="21" w:name="Xf2e3ea8245f7cd15a9f2ca468d8f6ffd6d2510b"/>
    <w:p>
      <w:pPr>
        <w:pStyle w:val="Heading2"/>
      </w:pPr>
      <w:r>
        <w:t xml:space="preserve">Capital allocation: a meaningful cushion, but not a substitute for execution</w:t>
      </w:r>
    </w:p>
    <w:p>
      <w:pPr>
        <w:pStyle w:val="FirstParagraph"/>
      </w:pPr>
      <w:r>
        <w:t xml:space="preserve">Masco repurchased</w:t>
      </w:r>
      <w:r>
        <w:t xml:space="preserve"> </w:t>
      </w:r>
      <m:oMath>
        <m:r>
          <m:t>202</m:t>
        </m:r>
        <m:r>
          <m:t>m</m:t>
        </m:r>
        <m:r>
          <m:t>i</m:t>
        </m:r>
        <m:r>
          <m:t>l</m:t>
        </m:r>
        <m:r>
          <m:t>l</m:t>
        </m:r>
        <m:r>
          <m:t>i</m:t>
        </m:r>
        <m:r>
          <m:t>o</m:t>
        </m:r>
        <m:r>
          <m:t>n</m:t>
        </m:r>
        <m:r>
          <m:t>o</m:t>
        </m:r>
        <m:r>
          <m:t>f</m:t>
        </m:r>
        <m:r>
          <m:t>s</m:t>
        </m:r>
        <m:r>
          <m:t>t</m:t>
        </m:r>
        <m:r>
          <m:t>o</m:t>
        </m:r>
        <m:r>
          <m:t>c</m:t>
        </m:r>
        <m:r>
          <m:t>k</m:t>
        </m:r>
        <m:r>
          <m:t>i</m:t>
        </m:r>
        <m:r>
          <m:t>n</m:t>
        </m:r>
        <m:r>
          <m:t>Q</m:t>
        </m:r>
        <m:r>
          <m:t>1</m:t>
        </m:r>
        <m:r>
          <m:t>a</m:t>
        </m:r>
        <m:r>
          <m:t>n</m:t>
        </m:r>
        <m:r>
          <m:t>d</m:t>
        </m:r>
        <m:r>
          <m:t>s</m:t>
        </m:r>
        <m:r>
          <m:t>u</m:t>
        </m:r>
        <m:r>
          <m:t>b</m:t>
        </m:r>
        <m:r>
          <m:t>s</m:t>
        </m:r>
        <m:r>
          <m:t>e</m:t>
        </m:r>
        <m:r>
          <m:t>q</m:t>
        </m:r>
        <m:r>
          <m:t>u</m:t>
        </m:r>
        <m:r>
          <m:t>e</m:t>
        </m:r>
        <m:r>
          <m:t>n</m:t>
        </m:r>
        <m:r>
          <m:t>t</m:t>
        </m:r>
        <m:r>
          <m:t>l</m:t>
        </m:r>
        <m:r>
          <m:t>y</m:t>
        </m:r>
        <m:r>
          <m:t>e</m:t>
        </m:r>
        <m:r>
          <m:t>n</m:t>
        </m:r>
        <m:r>
          <m:t>t</m:t>
        </m:r>
        <m:r>
          <m:t>e</m:t>
        </m:r>
        <m:r>
          <m:t>r</m:t>
        </m:r>
        <m:r>
          <m:t>e</m:t>
        </m:r>
        <m:r>
          <m:t>d</m:t>
        </m:r>
        <m:r>
          <m:t>i</m:t>
        </m:r>
        <m:r>
          <m:t>n</m:t>
        </m:r>
        <m:r>
          <m:t>t</m:t>
        </m:r>
        <m:r>
          <m:t>o</m:t>
        </m:r>
        <m:r>
          <m:t>a</m:t>
        </m:r>
        <m:r>
          <m:rPr>
            <m:sty m:val="p"/>
          </m:rPr>
          <m:t>*</m:t>
        </m:r>
        <m:r>
          <m:rPr>
            <m:sty m:val="p"/>
          </m:rPr>
          <m:t>*</m:t>
        </m:r>
      </m:oMath>
      <w:r>
        <w:t xml:space="preserve">300 million accelerated share-repurchase agreement**, initially receiving approximately 3.3 million shares. The company had also increased its planned 2026 deployment toward repurchases or acquisitions to at least $800 million. (</w:t>
      </w:r>
      <w:hyperlink r:id="rId20">
        <w:r>
          <w:rPr>
            <w:rStyle w:val="Hyperlink"/>
          </w:rPr>
          <w:t xml:space="preserve">investor.masco.com</w:t>
        </w:r>
      </w:hyperlink>
      <w:r>
        <w:t xml:space="preserve">)</w:t>
      </w:r>
    </w:p>
    <w:p>
      <w:pPr>
        <w:pStyle w:val="BodyText"/>
      </w:pPr>
      <w:r>
        <w:t xml:space="preserve">This should make the 200 million average diluted share-count assumption look conservative if the company continues buying aggressively. It also provides a degree of EPS protection if operating profit is merely in line.</w:t>
      </w:r>
    </w:p>
    <w:p>
      <w:pPr>
        <w:pStyle w:val="BodyText"/>
      </w:pPr>
      <w:r>
        <w:t xml:space="preserve">Investors should nevertheless focus on:</w:t>
      </w:r>
    </w:p>
    <w:p>
      <w:pPr>
        <w:pStyle w:val="Compact"/>
        <w:numPr>
          <w:ilvl w:val="0"/>
          <w:numId w:val="1015"/>
        </w:numPr>
      </w:pPr>
      <w:r>
        <w:t xml:space="preserve">The actual diluted share count in Q2;</w:t>
      </w:r>
    </w:p>
    <w:p>
      <w:pPr>
        <w:pStyle w:val="Compact"/>
        <w:numPr>
          <w:ilvl w:val="0"/>
          <w:numId w:val="1015"/>
        </w:numPr>
      </w:pPr>
      <w:r>
        <w:t xml:space="preserve">How much of the $800 million target has already been completed;</w:t>
      </w:r>
    </w:p>
    <w:p>
      <w:pPr>
        <w:pStyle w:val="Compact"/>
        <w:numPr>
          <w:ilvl w:val="0"/>
          <w:numId w:val="1015"/>
        </w:numPr>
      </w:pPr>
      <w:r>
        <w:t xml:space="preserve">Whether Masco raises the deployment target again;</w:t>
      </w:r>
    </w:p>
    <w:p>
      <w:pPr>
        <w:pStyle w:val="Compact"/>
        <w:numPr>
          <w:ilvl w:val="0"/>
          <w:numId w:val="1015"/>
        </w:numPr>
      </w:pPr>
      <w:r>
        <w:t xml:space="preserve">Revolver and delayed-draw term-loan usage;</w:t>
      </w:r>
    </w:p>
    <w:p>
      <w:pPr>
        <w:pStyle w:val="Compact"/>
        <w:numPr>
          <w:ilvl w:val="0"/>
          <w:numId w:val="1015"/>
        </w:numPr>
      </w:pPr>
      <w:r>
        <w:t xml:space="preserve">Gross debt to EBITDA versus the company’s sub-2.5-times target; and</w:t>
      </w:r>
    </w:p>
    <w:p>
      <w:pPr>
        <w:pStyle w:val="Compact"/>
        <w:numPr>
          <w:ilvl w:val="0"/>
          <w:numId w:val="1015"/>
        </w:numPr>
      </w:pPr>
      <w:r>
        <w:t xml:space="preserve">Whether buybacks are being funded partly by delayed working-capital normalization.</w:t>
      </w:r>
    </w:p>
    <w:p>
      <w:pPr>
        <w:pStyle w:val="FirstParagraph"/>
      </w:pPr>
      <w:r>
        <w:t xml:space="preserve">A buyback-driven EPS beat is lower quality than one supported by plumbing volume, price/cost, and margin performance.</w:t>
      </w:r>
    </w:p>
    <w:p>
      <w:r>
        <w:pict>
          <v:rect style="width:0;height:1.5pt" o:hralign="center" o:hrstd="t" o:hr="t"/>
        </w:pict>
      </w:r>
    </w:p>
    <w:bookmarkEnd w:id="21"/>
    <w:bookmarkStart w:id="22" w:name="cash-flow-and-working-capital"/>
    <w:p>
      <w:pPr>
        <w:pStyle w:val="Heading2"/>
      </w:pPr>
      <w:r>
        <w:t xml:space="preserve">Cash flow and working capital</w:t>
      </w:r>
    </w:p>
    <w:p>
      <w:pPr>
        <w:pStyle w:val="FirstParagraph"/>
      </w:pPr>
      <w:r>
        <w:t xml:space="preserve">Q1 working capital was 19.5% of trailing sales, versus 18.7% a year earlier. Management attributed the elevation largely to tariff timing and continued to target approximately</w:t>
      </w:r>
      <w:r>
        <w:t xml:space="preserve"> </w:t>
      </w:r>
      <w:r>
        <w:rPr>
          <w:b/>
          <w:bCs/>
        </w:rPr>
        <w:t xml:space="preserve">16.5% by year-end</w:t>
      </w:r>
      <w:r>
        <w:t xml:space="preserve">.</w:t>
      </w:r>
    </w:p>
    <w:p>
      <w:pPr>
        <w:pStyle w:val="BodyText"/>
      </w:pPr>
      <w:r>
        <w:t xml:space="preserve">Q2 is an important checkpoint because inventories were already elevated entering the quarter. Investors should look for:</w:t>
      </w:r>
    </w:p>
    <w:p>
      <w:pPr>
        <w:pStyle w:val="Compact"/>
        <w:numPr>
          <w:ilvl w:val="0"/>
          <w:numId w:val="1016"/>
        </w:numPr>
      </w:pPr>
      <w:r>
        <w:t xml:space="preserve">Inventory growth relative to sales;</w:t>
      </w:r>
    </w:p>
    <w:p>
      <w:pPr>
        <w:pStyle w:val="Compact"/>
        <w:numPr>
          <w:ilvl w:val="0"/>
          <w:numId w:val="1016"/>
        </w:numPr>
      </w:pPr>
      <w:r>
        <w:t xml:space="preserve">Receivables and payable days;</w:t>
      </w:r>
    </w:p>
    <w:p>
      <w:pPr>
        <w:pStyle w:val="Compact"/>
        <w:numPr>
          <w:ilvl w:val="0"/>
          <w:numId w:val="1016"/>
        </w:numPr>
      </w:pPr>
      <w:r>
        <w:t xml:space="preserve">Evidence that tariff-related working-capital distortion is beginning to reverse;</w:t>
      </w:r>
    </w:p>
    <w:p>
      <w:pPr>
        <w:pStyle w:val="Compact"/>
        <w:numPr>
          <w:ilvl w:val="0"/>
          <w:numId w:val="1016"/>
        </w:numPr>
      </w:pPr>
      <w:r>
        <w:t xml:space="preserve">Progress toward year-end free-cash-flow conversion above 90%; and</w:t>
      </w:r>
    </w:p>
    <w:p>
      <w:pPr>
        <w:pStyle w:val="Compact"/>
        <w:numPr>
          <w:ilvl w:val="0"/>
          <w:numId w:val="1016"/>
        </w:numPr>
      </w:pPr>
      <w:r>
        <w:t xml:space="preserve">Whether buybacks are comfortably covered by underlying cash generation.</w:t>
      </w:r>
    </w:p>
    <w:p>
      <w:pPr>
        <w:pStyle w:val="FirstParagraph"/>
      </w:pPr>
      <w:r>
        <w:t xml:space="preserve">A strong income statement accompanied by another significant working-capital build would make the quality of the quarter less compelling.</w:t>
      </w:r>
    </w:p>
    <w:p>
      <w:r>
        <w:pict>
          <v:rect style="width:0;height:1.5pt" o:hralign="center" o:hrstd="t" o:hr="t"/>
        </w:pict>
      </w:r>
    </w:p>
    <w:bookmarkEnd w:id="22"/>
    <w:bookmarkStart w:id="24" w:name="Xbf403f09341010a4cc38170b79ea2eed29c59b5"/>
    <w:p>
      <w:pPr>
        <w:pStyle w:val="Heading2"/>
      </w:pPr>
      <w:r>
        <w:t xml:space="preserve">Investor Day commitments raise the strategic bar</w:t>
      </w:r>
    </w:p>
    <w:p>
      <w:pPr>
        <w:pStyle w:val="FirstParagraph"/>
      </w:pPr>
      <w:r>
        <w:t xml:space="preserve">At its May Investor Day, Masco established 2028 goals of:</w:t>
      </w:r>
    </w:p>
    <w:p>
      <w:pPr>
        <w:pStyle w:val="Compact"/>
        <w:numPr>
          <w:ilvl w:val="0"/>
          <w:numId w:val="1017"/>
        </w:numPr>
      </w:pPr>
      <w:r>
        <w:rPr>
          <w:b/>
          <w:bCs/>
        </w:rPr>
        <w:t xml:space="preserve">3%-4% average annual organic sales growth</w:t>
      </w:r>
      <w:r>
        <w:t xml:space="preserve">;</w:t>
      </w:r>
    </w:p>
    <w:p>
      <w:pPr>
        <w:pStyle w:val="Compact"/>
        <w:numPr>
          <w:ilvl w:val="0"/>
          <w:numId w:val="1017"/>
        </w:numPr>
      </w:pPr>
      <w:r>
        <w:rPr>
          <w:b/>
          <w:bCs/>
        </w:rPr>
        <w:t xml:space="preserve">At least 18% adjusted operating margin</w:t>
      </w:r>
      <w:r>
        <w:t xml:space="preserve">; and</w:t>
      </w:r>
    </w:p>
    <w:p>
      <w:pPr>
        <w:pStyle w:val="Compact"/>
        <w:numPr>
          <w:ilvl w:val="0"/>
          <w:numId w:val="1017"/>
        </w:numPr>
      </w:pPr>
      <w:r>
        <w:t xml:space="preserve">Approximately</w:t>
      </w:r>
      <w:r>
        <w:t xml:space="preserve"> </w:t>
      </w:r>
      <w:r>
        <w:rPr>
          <w:b/>
          <w:bCs/>
        </w:rPr>
        <w:t xml:space="preserve">10% annual adjusted EPS growth</w:t>
      </w:r>
      <w:r>
        <w:t xml:space="preserve">. (</w:t>
      </w:r>
      <w:hyperlink r:id="rId23">
        <w:r>
          <w:rPr>
            <w:rStyle w:val="Hyperlink"/>
          </w:rPr>
          <w:t xml:space="preserve">investor.masco.com</w:t>
        </w:r>
      </w:hyperlink>
      <w:r>
        <w:t xml:space="preserve">)</w:t>
      </w:r>
    </w:p>
    <w:p>
      <w:pPr>
        <w:pStyle w:val="FirstParagraph"/>
      </w:pPr>
      <w:r>
        <w:t xml:space="preserve">Q2 is the first earnings report after those targets were introduced. Management will therefore need to connect current execution to the longer-term algorithm.</w:t>
      </w:r>
    </w:p>
    <w:p>
      <w:pPr>
        <w:pStyle w:val="BodyText"/>
      </w:pPr>
      <w:r>
        <w:t xml:space="preserve">The most relevant proof points are:</w:t>
      </w:r>
    </w:p>
    <w:p>
      <w:pPr>
        <w:pStyle w:val="Compact"/>
        <w:numPr>
          <w:ilvl w:val="0"/>
          <w:numId w:val="1018"/>
        </w:numPr>
      </w:pPr>
      <w:r>
        <w:t xml:space="preserve">Plumbing share gains through e-commerce, innovation, luxury products, and global projects;</w:t>
      </w:r>
    </w:p>
    <w:p>
      <w:pPr>
        <w:pStyle w:val="Compact"/>
        <w:numPr>
          <w:ilvl w:val="0"/>
          <w:numId w:val="1018"/>
        </w:numPr>
      </w:pPr>
      <w:r>
        <w:t xml:space="preserve">Sustained Behr Pro growth;</w:t>
      </w:r>
    </w:p>
    <w:p>
      <w:pPr>
        <w:pStyle w:val="Compact"/>
        <w:numPr>
          <w:ilvl w:val="0"/>
          <w:numId w:val="1018"/>
        </w:numPr>
      </w:pPr>
      <w:r>
        <w:t xml:space="preserve">Wellness growth across hot tubs, saunas, aquatic fitness, and cold plunge;</w:t>
      </w:r>
    </w:p>
    <w:p>
      <w:pPr>
        <w:pStyle w:val="Compact"/>
        <w:numPr>
          <w:ilvl w:val="0"/>
          <w:numId w:val="1018"/>
        </w:numPr>
      </w:pPr>
      <w:r>
        <w:t xml:space="preserve">Measurable restructuring and procurement benefits;</w:t>
      </w:r>
    </w:p>
    <w:p>
      <w:pPr>
        <w:pStyle w:val="Compact"/>
        <w:numPr>
          <w:ilvl w:val="0"/>
          <w:numId w:val="1018"/>
        </w:numPr>
      </w:pPr>
      <w:r>
        <w:t xml:space="preserve">Evidence that investment in digital marketing and commercial capabilities can accelerate revenue without delaying margin expansion.</w:t>
      </w:r>
    </w:p>
    <w:p>
      <w:pPr>
        <w:pStyle w:val="FirstParagraph"/>
      </w:pPr>
      <w:r>
        <w:t xml:space="preserve">Investors are unlikely to expect material financial contributions from these initiatives in one quarter. They will expect management to demonstrate that near-term cost pressures do not compromise the 2028 framework.</w:t>
      </w:r>
    </w:p>
    <w:p>
      <w:r>
        <w:pict>
          <v:rect style="width:0;height:1.5pt" o:hralign="center" o:hrstd="t" o:hr="t"/>
        </w:pict>
      </w:r>
    </w:p>
    <w:bookmarkEnd w:id="24"/>
    <w:bookmarkStart w:id="25" w:name="X7e6d8fdc73d08de4cb8cb545e94a1e9db722f6c"/>
    <w:p>
      <w:pPr>
        <w:pStyle w:val="Heading2"/>
      </w:pPr>
      <w:r>
        <w:t xml:space="preserve">What would constitute a genuinely good report?</w:t>
      </w:r>
    </w:p>
    <w:p>
      <w:pPr>
        <w:pStyle w:val="FirstParagraph"/>
      </w:pPr>
      <w:r>
        <w:t xml:space="preserve">For the shares to respond positively after their strong run, the report probably needs several—not merely one—of the following:</w:t>
      </w:r>
    </w:p>
    <w:p>
      <w:pPr>
        <w:pStyle w:val="Compact"/>
        <w:numPr>
          <w:ilvl w:val="0"/>
          <w:numId w:val="1019"/>
        </w:numPr>
      </w:pPr>
      <w:r>
        <w:t xml:space="preserve">Adjusted EPS above the</w:t>
      </w:r>
      <w:r>
        <w:t xml:space="preserve"> </w:t>
      </w:r>
      <m:oMath>
        <m:r>
          <m:t>1.29</m:t>
        </m:r>
        <m:r>
          <m:rPr>
            <m:sty m:val="p"/>
          </m:rPr>
          <m:t>−</m:t>
        </m:r>
      </m:oMath>
      <w:r>
        <w:t xml:space="preserve">1.32 estimate range;</w:t>
      </w:r>
    </w:p>
    <w:p>
      <w:pPr>
        <w:pStyle w:val="Compact"/>
        <w:numPr>
          <w:ilvl w:val="0"/>
          <w:numId w:val="1019"/>
        </w:numPr>
      </w:pPr>
      <w:r>
        <w:t xml:space="preserve">Revenue above roughly $2.08 billion;</w:t>
      </w:r>
    </w:p>
    <w:p>
      <w:pPr>
        <w:pStyle w:val="Compact"/>
        <w:numPr>
          <w:ilvl w:val="0"/>
          <w:numId w:val="1019"/>
        </w:numPr>
      </w:pPr>
      <w:r>
        <w:t xml:space="preserve">Plumbing volumes at least flat, preferably positive;</w:t>
      </w:r>
    </w:p>
    <w:p>
      <w:pPr>
        <w:pStyle w:val="Compact"/>
        <w:numPr>
          <w:ilvl w:val="0"/>
          <w:numId w:val="1019"/>
        </w:numPr>
      </w:pPr>
      <w:r>
        <w:t xml:space="preserve">Consolidated margin near or above 19.5%;</w:t>
      </w:r>
    </w:p>
    <w:p>
      <w:pPr>
        <w:pStyle w:val="Compact"/>
        <w:numPr>
          <w:ilvl w:val="0"/>
          <w:numId w:val="1019"/>
        </w:numPr>
      </w:pPr>
      <w:r>
        <w:t xml:space="preserve">Continued mid-single-digit Pro paint growth;</w:t>
      </w:r>
    </w:p>
    <w:p>
      <w:pPr>
        <w:pStyle w:val="Compact"/>
        <w:numPr>
          <w:ilvl w:val="0"/>
          <w:numId w:val="1019"/>
        </w:numPr>
      </w:pPr>
      <w:r>
        <w:t xml:space="preserve">No deterioration in full-year segment-margin expectations;</w:t>
      </w:r>
    </w:p>
    <w:p>
      <w:pPr>
        <w:pStyle w:val="Compact"/>
        <w:numPr>
          <w:ilvl w:val="0"/>
          <w:numId w:val="1019"/>
        </w:numPr>
      </w:pPr>
      <w:r>
        <w:t xml:space="preserve">Guidance tightened upward or raised;</w:t>
      </w:r>
    </w:p>
    <w:p>
      <w:pPr>
        <w:pStyle w:val="Compact"/>
        <w:numPr>
          <w:ilvl w:val="0"/>
          <w:numId w:val="1019"/>
        </w:numPr>
      </w:pPr>
      <w:r>
        <w:t xml:space="preserve">Greater confidence that commodity inflation can be mitigated; and</w:t>
      </w:r>
    </w:p>
    <w:p>
      <w:pPr>
        <w:pStyle w:val="Compact"/>
        <w:numPr>
          <w:ilvl w:val="0"/>
          <w:numId w:val="1019"/>
        </w:numPr>
      </w:pPr>
      <w:r>
        <w:t xml:space="preserve">Evidence that cash flow and working capital are progressing toward year-end targets.</w:t>
      </w:r>
    </w:p>
    <w:bookmarkEnd w:id="25"/>
    <w:bookmarkStart w:id="26" w:name="bottom-line"/>
    <w:p>
      <w:pPr>
        <w:pStyle w:val="Heading2"/>
      </w:pPr>
      <w:r>
        <w:t xml:space="preserve">Bottom line</w:t>
      </w:r>
    </w:p>
    <w:p>
      <w:pPr>
        <w:pStyle w:val="FirstParagraph"/>
      </w:pPr>
      <w:r>
        <w:t xml:space="preserve">Masco enters Q2 with strong operating momentum, an improving strategic narrative, and substantial EPS support from repurchases. The core business also appears to be outperforming subdued repair-and-remodel markets, particularly in North American plumbing and professional paint.</w:t>
      </w:r>
    </w:p>
    <w:p>
      <w:pPr>
        <w:pStyle w:val="BodyText"/>
      </w:pPr>
      <w:r>
        <w:t xml:space="preserve">The risk is that the market already recognizes much of that strength. With the stock up roughly 27% year to date, investors will likely demand more than an ordinary beat. The decisive variables are</w:t>
      </w:r>
      <w:r>
        <w:t xml:space="preserve"> </w:t>
      </w:r>
      <w:r>
        <w:rPr>
          <w:b/>
          <w:bCs/>
        </w:rPr>
        <w:t xml:space="preserve">plumbing volume, the magnitude of Q2 margin compression, and management’s confidence in second-half price/cost performance</w:t>
      </w:r>
      <w:r>
        <w:t xml:space="preserve">.</w:t>
      </w:r>
    </w:p>
    <w:p>
      <w:pPr>
        <w:pStyle w:val="BodyText"/>
      </w:pPr>
      <w:r>
        <w:t xml:space="preserve">A clean quarter with approximately 19%-plus margins and unchanged guidance would confirm that the plan remains on track. A stronger report—positive plumbing volumes, limited cost slippage, and an upward guidance revision—would support the argument that Masco is beginning to transition from a buyback-and-margin story into the above-market growth company outlined at its Investor Day.</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masco.com/events-and-presentations/default.aspx?LanguageId=1&amp;utm_source=openai" TargetMode="External" /><Relationship Type="http://schemas.openxmlformats.org/officeDocument/2006/relationships/hyperlink" Id="rId20" Target="https://investor.masco.com/news-stream/news-details/2026/Masco-Corporation-Announces-300-Million-Accelerated-Share-Repurchase/default.aspx?utm_source=openai" TargetMode="External" /><Relationship Type="http://schemas.openxmlformats.org/officeDocument/2006/relationships/hyperlink" Id="rId23" Target="https://investor.masco.com/news-stream/news-details/2026/Masco-Corporation-Provides-Strategic-Update-and-Long-Term-Financial-Targets/default.aspx?utm_source=openai" TargetMode="External" /><Relationship Type="http://schemas.openxmlformats.org/officeDocument/2006/relationships/hyperlink" Id="rId11" Target="https://www.marketbeat.com/earnings/reports/2026-7-29-masco-co-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masco.com/events-and-presentations/default.aspx?LanguageId=1&amp;utm_source=openai" TargetMode="External" /><Relationship Type="http://schemas.openxmlformats.org/officeDocument/2006/relationships/hyperlink" Id="rId20" Target="https://investor.masco.com/news-stream/news-details/2026/Masco-Corporation-Announces-300-Million-Accelerated-Share-Repurchase/default.aspx?utm_source=openai" TargetMode="External" /><Relationship Type="http://schemas.openxmlformats.org/officeDocument/2006/relationships/hyperlink" Id="rId23" Target="https://investor.masco.com/news-stream/news-details/2026/Masco-Corporation-Provides-Strategic-Update-and-Long-Term-Financial-Targets/default.aspx?utm_source=openai" TargetMode="External" /><Relationship Type="http://schemas.openxmlformats.org/officeDocument/2006/relationships/hyperlink" Id="rId11" Target="https://www.marketbeat.com/earnings/reports/2026-7-29-masco-co-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2026-07-29T00:17:02Z</dcterms:created>
  <dcterms:modified xsi:type="dcterms:W3CDTF">2026-07-29T00:17:02Z</dcterms:modified>
</cp:coreProperties>
</file>

<file path=docProps/custom.xml><?xml version="1.0" encoding="utf-8"?>
<Properties xmlns="http://schemas.openxmlformats.org/officeDocument/2006/custom-properties" xmlns:vt="http://schemas.openxmlformats.org/officeDocument/2006/docPropsVTypes"/>
</file>