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masco-nyse-mas--2q26-earnings-preview"/>
    <w:p>
      <w:pPr>
        <w:pStyle w:val="Heading1"/>
      </w:pPr>
      <w:r>
        <w:t xml:space="preserve">Masco (NYSE: MAS) — 2Q26 Earnings Preview</w:t>
      </w:r>
    </w:p>
    <w:p>
      <w:pPr>
        <w:pStyle w:val="BlockText"/>
      </w:pPr>
      <w:r>
        <w:rPr>
          <w:b/>
          <w:bCs/>
        </w:rPr>
        <w:t xml:space="preserve">Date clarification:</w:t>
      </w:r>
      <w:r>
        <w:t xml:space="preserve"> </w:t>
      </w:r>
      <w:r>
        <w:t xml:space="preserve">the supplied earnings-event date,</w:t>
      </w:r>
      <w:r>
        <w:t xml:space="preserve"> </w:t>
      </w:r>
      <w:r>
        <w:rPr>
          <w:b/>
          <w:bCs/>
        </w:rPr>
        <w:t xml:space="preserve">July 29, 2026</w:t>
      </w:r>
      <w:r>
        <w:t xml:space="preserve">, is</w:t>
      </w:r>
      <w:r>
        <w:t xml:space="preserve"> </w:t>
      </w:r>
      <w:r>
        <w:rPr>
          <w:b/>
          <w:bCs/>
        </w:rPr>
        <w:t xml:space="preserve">today</w:t>
      </w:r>
      <w:r>
        <w:t xml:space="preserve"> </w:t>
      </w:r>
      <w:r>
        <w:t xml:space="preserve">(Wednesday), rather than tomorrow. This preview treats the report as imminent/pre-release.</w:t>
      </w:r>
    </w:p>
    <w:bookmarkStart w:id="9" w:name="bottom-line"/>
    <w:p>
      <w:pPr>
        <w:pStyle w:val="Heading2"/>
      </w:pPr>
      <w:r>
        <w:t xml:space="preserve">Bottom line</w:t>
      </w:r>
    </w:p>
    <w:p>
      <w:pPr>
        <w:pStyle w:val="FirstParagraph"/>
      </w:pPr>
      <w:r>
        <w:t xml:space="preserve">Masco enters 2Q with a stronger operational backdrop than its full-year outlook implies: 1Q plumbing demand and share gains were better than expected, Decorative Architectural margins normalized sharply, and management modestly improved its 2026 sales outlook. The central question for investors is whether that favorable execution can continue through a more difficult 2Q margin comparison and an increasingly uncertain demand/cost environment.</w:t>
      </w:r>
    </w:p>
    <w:p>
      <w:pPr>
        <w:pStyle w:val="BodyText"/>
      </w:pPr>
      <w:r>
        <w:t xml:space="preserve">The setup is therefore less about whether Masco can produce a respectable quarter and more about</w:t>
      </w:r>
      <w:r>
        <w:t xml:space="preserve"> </w:t>
      </w:r>
      <w:r>
        <w:rPr>
          <w:b/>
          <w:bCs/>
        </w:rPr>
        <w:t xml:space="preserve">the durability of plumbing volumes, the degree of 2Q margin pressure, and whether management still sounds comfortable with the midpoint of its</w:t>
      </w:r>
      <w:r>
        <w:rPr>
          <w:b/>
          <w:bCs/>
        </w:rPr>
        <w:t xml:space="preserve"> </w:t>
      </w:r>
      <m:oMath>
        <m:r>
          <m:t>4.10</m:t>
        </m:r>
        <m:r>
          <m:rPr>
            <m:sty m:val="p"/>
          </m:rPr>
          <m:t>–</m:t>
        </m:r>
      </m:oMath>
      <w:r>
        <w:rPr>
          <w:b/>
          <w:bCs/>
        </w:rPr>
        <w:t xml:space="preserve">4.30 adjusted-EPS guide.</w:t>
      </w:r>
    </w:p>
    <w:p>
      <w:pPr>
        <w:pStyle w:val="BodyText"/>
      </w:pPr>
      <w:r>
        <w:t xml:space="preserve">MAS closed July 28 at</w:t>
      </w:r>
      <w:r>
        <w:t xml:space="preserve"> </w:t>
      </w:r>
      <w:r>
        <w:rPr>
          <w:b/>
          <w:bCs/>
        </w:rPr>
        <w:t xml:space="preserve">$81.63</w:t>
      </w:r>
      <w:r>
        <w:t xml:space="preserve">, up roughly</w:t>
      </w:r>
      <w:r>
        <w:t xml:space="preserve"> </w:t>
      </w:r>
      <w:r>
        <w:rPr>
          <w:b/>
          <w:bCs/>
        </w:rPr>
        <w:t xml:space="preserve">22%</w:t>
      </w:r>
      <w:r>
        <w:t xml:space="preserve"> </w:t>
      </w:r>
      <w:r>
        <w:t xml:space="preserve">from the day before the 1Q release and about</w:t>
      </w:r>
      <w:r>
        <w:t xml:space="preserve"> </w:t>
      </w:r>
      <w:r>
        <w:rPr>
          <w:b/>
          <w:bCs/>
        </w:rPr>
        <w:t xml:space="preserve">10%</w:t>
      </w:r>
      <w:r>
        <w:t xml:space="preserve"> </w:t>
      </w:r>
      <w:r>
        <w:t xml:space="preserve">since the 1Q earnings-day close. At that price, the shares trade around</w:t>
      </w:r>
      <w:r>
        <w:t xml:space="preserve"> </w:t>
      </w:r>
      <w:r>
        <w:rPr>
          <w:b/>
          <w:bCs/>
        </w:rPr>
        <w:t xml:space="preserve">19x</w:t>
      </w:r>
      <w:r>
        <w:t xml:space="preserve"> </w:t>
      </w:r>
      <w:r>
        <w:t xml:space="preserve">the midpoint of 2026 adjusted-EPS guidance—leaving less room for a merely “in-line” report than earlier in the year.</w:t>
      </w:r>
    </w:p>
    <w:p>
      <w:r>
        <w:pict>
          <v:rect style="width:0;height:1.5pt" o:hralign="center" o:hrstd="t" o:hr="t"/>
        </w:pict>
      </w:r>
    </w:p>
    <w:bookmarkEnd w:id="9"/>
    <w:bookmarkStart w:id="13" w:name="what-matters-most-this-quarter"/>
    <w:p>
      <w:pPr>
        <w:pStyle w:val="Heading2"/>
      </w:pPr>
      <w:r>
        <w:t xml:space="preserve">What matters most this quarter</w:t>
      </w:r>
    </w:p>
    <w:bookmarkStart w:id="10" w:name="Xf607f38fe6c09fc6a6ce4bc32b3a310055afa70"/>
    <w:p>
      <w:pPr>
        <w:pStyle w:val="Heading3"/>
      </w:pPr>
      <w:r>
        <w:t xml:space="preserve">1. Plumbing volume: was 1Q a durable share-gain story?</w:t>
      </w:r>
    </w:p>
    <w:p>
      <w:pPr>
        <w:pStyle w:val="FirstParagraph"/>
      </w:pPr>
      <w:r>
        <w:t xml:space="preserve">Plumbing was the key positive surprise in 1Q:</w:t>
      </w:r>
    </w:p>
    <w:p>
      <w:pPr>
        <w:pStyle w:val="Compact"/>
        <w:numPr>
          <w:ilvl w:val="0"/>
          <w:numId w:val="1001"/>
        </w:numPr>
      </w:pPr>
      <w:r>
        <w:t xml:space="preserve">Segment sales rose</w:t>
      </w:r>
      <w:r>
        <w:t xml:space="preserve"> </w:t>
      </w:r>
      <w:r>
        <w:rPr>
          <w:b/>
          <w:bCs/>
        </w:rPr>
        <w:t xml:space="preserve">9% reported / 7% in local currency</w:t>
      </w:r>
      <w:r>
        <w:t xml:space="preserve">.</w:t>
      </w:r>
    </w:p>
    <w:p>
      <w:pPr>
        <w:pStyle w:val="Compact"/>
        <w:numPr>
          <w:ilvl w:val="0"/>
          <w:numId w:val="1001"/>
        </w:numPr>
      </w:pPr>
      <w:r>
        <w:t xml:space="preserve">North American plumbing grew</w:t>
      </w:r>
      <w:r>
        <w:t xml:space="preserve"> </w:t>
      </w:r>
      <w:r>
        <w:rPr>
          <w:b/>
          <w:bCs/>
        </w:rPr>
        <w:t xml:space="preserve">9% in local currency</w:t>
      </w:r>
      <w:r>
        <w:t xml:space="preserve">.</w:t>
      </w:r>
    </w:p>
    <w:p>
      <w:pPr>
        <w:pStyle w:val="Compact"/>
        <w:numPr>
          <w:ilvl w:val="0"/>
          <w:numId w:val="1001"/>
        </w:numPr>
      </w:pPr>
      <w:r>
        <w:t xml:space="preserve">Pricing contributed about</w:t>
      </w:r>
      <w:r>
        <w:t xml:space="preserve"> </w:t>
      </w:r>
      <w:r>
        <w:rPr>
          <w:b/>
          <w:bCs/>
        </w:rPr>
        <w:t xml:space="preserve">6 points</w:t>
      </w:r>
      <w:r>
        <w:t xml:space="preserve">, but volumes were also modestly positive and materially better than management expected.</w:t>
      </w:r>
    </w:p>
    <w:p>
      <w:pPr>
        <w:pStyle w:val="Compact"/>
        <w:numPr>
          <w:ilvl w:val="0"/>
          <w:numId w:val="1001"/>
        </w:numPr>
      </w:pPr>
      <w:r>
        <w:t xml:space="preserve">Delta grew across</w:t>
      </w:r>
      <w:r>
        <w:t xml:space="preserve"> </w:t>
      </w:r>
      <w:r>
        <w:rPr>
          <w:b/>
          <w:bCs/>
        </w:rPr>
        <w:t xml:space="preserve">trade, retail, and e-commerce</w:t>
      </w:r>
      <w:r>
        <w:t xml:space="preserve">; management attributed the upside primarily to market-share gains and better-than-expected pricing elasticity.</w:t>
      </w:r>
    </w:p>
    <w:p>
      <w:pPr>
        <w:pStyle w:val="FirstParagraph"/>
      </w:pPr>
      <w:r>
        <w:t xml:space="preserve">For 2Q, investors should focus on whether the company can confirm that its share gains remain intact. In particular:</w:t>
      </w:r>
    </w:p>
    <w:p>
      <w:pPr>
        <w:pStyle w:val="Compact"/>
        <w:numPr>
          <w:ilvl w:val="0"/>
          <w:numId w:val="1002"/>
        </w:numPr>
      </w:pPr>
      <w:r>
        <w:t xml:space="preserve">Is volume still positive or at least resilient?</w:t>
      </w:r>
    </w:p>
    <w:p>
      <w:pPr>
        <w:pStyle w:val="Compact"/>
        <w:numPr>
          <w:ilvl w:val="0"/>
          <w:numId w:val="1002"/>
        </w:numPr>
      </w:pPr>
      <w:r>
        <w:t xml:space="preserve">Is North American demand holding across retail, wholesale/trade, and e-commerce?</w:t>
      </w:r>
    </w:p>
    <w:p>
      <w:pPr>
        <w:pStyle w:val="Compact"/>
        <w:numPr>
          <w:ilvl w:val="0"/>
          <w:numId w:val="1002"/>
        </w:numPr>
      </w:pPr>
      <w:r>
        <w:t xml:space="preserve">Are premium and luxury brands—Brizo, Axor, and Newport Brass—continuing to outperform?</w:t>
      </w:r>
    </w:p>
    <w:p>
      <w:pPr>
        <w:pStyle w:val="Compact"/>
        <w:numPr>
          <w:ilvl w:val="0"/>
          <w:numId w:val="1002"/>
        </w:numPr>
      </w:pPr>
      <w:r>
        <w:t xml:space="preserve">Has the company seen any meaningful pullback in consumer activity as higher energy costs and weak confidence filter through?</w:t>
      </w:r>
    </w:p>
    <w:p>
      <w:pPr>
        <w:pStyle w:val="FirstParagraph"/>
      </w:pPr>
      <w:r>
        <w:t xml:space="preserve">A durable plumbing-volume result would be especially constructive because the full-year plumbing outlook remains only</w:t>
      </w:r>
      <w:r>
        <w:t xml:space="preserve"> </w:t>
      </w:r>
      <w:r>
        <w:rPr>
          <w:b/>
          <w:bCs/>
        </w:rPr>
        <w:t xml:space="preserve">up low single digits</w:t>
      </w:r>
      <w:r>
        <w:t xml:space="preserve">, despite the strong start. That leaves room for upside if category demand does not deteriorate.</w:t>
      </w:r>
    </w:p>
    <w:p>
      <w:r>
        <w:pict>
          <v:rect style="width:0;height:1.5pt" o:hralign="center" o:hrstd="t" o:hr="t"/>
        </w:pict>
      </w:r>
    </w:p>
    <w:bookmarkEnd w:id="10"/>
    <w:bookmarkStart w:id="11" w:name="X76a6d069b3e5507c5c39abe684d28577ea4dd71"/>
    <w:p>
      <w:pPr>
        <w:pStyle w:val="Heading3"/>
      </w:pPr>
      <w:r>
        <w:t xml:space="preserve">2. Expect a tougher margin comparison in 2Q</w:t>
      </w:r>
    </w:p>
    <w:p>
      <w:pPr>
        <w:pStyle w:val="FirstParagraph"/>
      </w:pPr>
      <w:r>
        <w:t xml:space="preserve">Masco has already signaled that consolidated margin will likely</w:t>
      </w:r>
      <w:r>
        <w:t xml:space="preserve"> </w:t>
      </w:r>
      <w:r>
        <w:rPr>
          <w:b/>
          <w:bCs/>
        </w:rPr>
        <w:t xml:space="preserve">contract year over year in 2Q</w:t>
      </w:r>
      <w:r>
        <w:t xml:space="preserve">. This is important: a headline margin decline should not automatically be read as a thesis break.</w:t>
      </w:r>
    </w:p>
    <w:p>
      <w:pPr>
        <w:pStyle w:val="BodyText"/>
      </w:pPr>
      <w:r>
        <w:t xml:space="preserve">In 1Q, adjusted operating margin expanded</w:t>
      </w:r>
      <w:r>
        <w:t xml:space="preserve"> </w:t>
      </w:r>
      <w:r>
        <w:rPr>
          <w:b/>
          <w:bCs/>
        </w:rPr>
        <w:t xml:space="preserve">90 basis points</w:t>
      </w:r>
      <w:r>
        <w:t xml:space="preserve"> </w:t>
      </w:r>
      <w:r>
        <w:t xml:space="preserve">to</w:t>
      </w:r>
      <w:r>
        <w:t xml:space="preserve"> </w:t>
      </w:r>
      <w:r>
        <w:rPr>
          <w:b/>
          <w:bCs/>
        </w:rPr>
        <w:t xml:space="preserve">16.9%</w:t>
      </w:r>
      <w:r>
        <w:t xml:space="preserve">, supported by pricing and cost actions. But management noted that 2Q25 was a particularly strong comparison period, with roughly</w:t>
      </w:r>
      <w:r>
        <w:t xml:space="preserve"> </w:t>
      </w:r>
      <w:r>
        <w:rPr>
          <w:b/>
          <w:bCs/>
        </w:rPr>
        <w:t xml:space="preserve">20%</w:t>
      </w:r>
      <w:r>
        <w:t xml:space="preserve"> </w:t>
      </w:r>
      <w:r>
        <w:t xml:space="preserve">company operating margin and less tariff pressure at that point. As a result, its updated framework called for:</w:t>
      </w:r>
    </w:p>
    <w:p>
      <w:pPr>
        <w:pStyle w:val="Compact"/>
        <w:numPr>
          <w:ilvl w:val="0"/>
          <w:numId w:val="1003"/>
        </w:numPr>
      </w:pPr>
      <w:r>
        <w:rPr>
          <w:b/>
          <w:bCs/>
        </w:rPr>
        <w:t xml:space="preserve">Flat first-half margins</w:t>
      </w:r>
      <w:r>
        <w:t xml:space="preserve"> </w:t>
      </w:r>
      <w:r>
        <w:t xml:space="preserve">year over year overall, implying 2Q contraction after 1Q expansion.</w:t>
      </w:r>
    </w:p>
    <w:p>
      <w:pPr>
        <w:pStyle w:val="Compact"/>
        <w:numPr>
          <w:ilvl w:val="0"/>
          <w:numId w:val="1003"/>
        </w:numPr>
      </w:pPr>
      <w:r>
        <w:t xml:space="preserve">Margin expansion in the</w:t>
      </w:r>
      <w:r>
        <w:t xml:space="preserve"> </w:t>
      </w:r>
      <w:r>
        <w:rPr>
          <w:b/>
          <w:bCs/>
        </w:rPr>
        <w:t xml:space="preserve">second half</w:t>
      </w:r>
      <w:r>
        <w:t xml:space="preserve">, as tariff comparisons ease and mitigation actions take hold.</w:t>
      </w:r>
    </w:p>
    <w:p>
      <w:pPr>
        <w:pStyle w:val="Compact"/>
        <w:numPr>
          <w:ilvl w:val="0"/>
          <w:numId w:val="1003"/>
        </w:numPr>
      </w:pPr>
      <w:r>
        <w:t xml:space="preserve">Full-year adjusted operating margin of roughly</w:t>
      </w:r>
      <w:r>
        <w:t xml:space="preserve"> </w:t>
      </w:r>
      <w:r>
        <w:rPr>
          <w:b/>
          <w:bCs/>
        </w:rPr>
        <w:t xml:space="preserve">17%</w:t>
      </w:r>
      <w:r>
        <w:t xml:space="preserve">.</w:t>
      </w:r>
    </w:p>
    <w:p>
      <w:pPr>
        <w:pStyle w:val="FirstParagraph"/>
      </w:pPr>
      <w:r>
        <w:t xml:space="preserve">The key is therefore the</w:t>
      </w:r>
      <w:r>
        <w:t xml:space="preserve"> </w:t>
      </w:r>
      <w:r>
        <w:rPr>
          <w:b/>
          <w:bCs/>
        </w:rPr>
        <w:t xml:space="preserve">size and drivers</w:t>
      </w:r>
      <w:r>
        <w:t xml:space="preserve"> </w:t>
      </w:r>
      <w:r>
        <w:t xml:space="preserve">of any 2Q margin decline:</w:t>
      </w:r>
    </w:p>
    <w:p>
      <w:pPr>
        <w:pStyle w:val="BodyText"/>
      </w:pPr>
      <w:r>
        <w:rPr>
          <w:b/>
          <w:bCs/>
        </w:rPr>
        <w:t xml:space="preserve">More constructive outcome</w:t>
      </w:r>
    </w:p>
    <w:p>
      <w:pPr>
        <w:pStyle w:val="Compact"/>
        <w:numPr>
          <w:ilvl w:val="0"/>
          <w:numId w:val="1004"/>
        </w:numPr>
      </w:pPr>
      <w:r>
        <w:t xml:space="preserve">Modest, well-telegraphed contraction.</w:t>
      </w:r>
    </w:p>
    <w:p>
      <w:pPr>
        <w:pStyle w:val="Compact"/>
        <w:numPr>
          <w:ilvl w:val="0"/>
          <w:numId w:val="1004"/>
        </w:numPr>
      </w:pPr>
      <w:r>
        <w:t xml:space="preserve">Management reiterates second-half expansion.</w:t>
      </w:r>
    </w:p>
    <w:p>
      <w:pPr>
        <w:pStyle w:val="Compact"/>
        <w:numPr>
          <w:ilvl w:val="0"/>
          <w:numId w:val="1004"/>
        </w:numPr>
      </w:pPr>
      <w:r>
        <w:t xml:space="preserve">Cost savings, restructuring, and pricing remain on schedule.</w:t>
      </w:r>
    </w:p>
    <w:p>
      <w:pPr>
        <w:pStyle w:val="FirstParagraph"/>
      </w:pPr>
      <w:r>
        <w:rPr>
          <w:b/>
          <w:bCs/>
        </w:rPr>
        <w:t xml:space="preserve">More concerning outcome</w:t>
      </w:r>
    </w:p>
    <w:p>
      <w:pPr>
        <w:pStyle w:val="Compact"/>
        <w:numPr>
          <w:ilvl w:val="0"/>
          <w:numId w:val="1005"/>
        </w:numPr>
      </w:pPr>
      <w:r>
        <w:t xml:space="preserve">Margin pressure exceeds expectations because of commodities, freight, or promotional activity.</w:t>
      </w:r>
    </w:p>
    <w:p>
      <w:pPr>
        <w:pStyle w:val="Compact"/>
        <w:numPr>
          <w:ilvl w:val="0"/>
          <w:numId w:val="1005"/>
        </w:numPr>
      </w:pPr>
      <w:r>
        <w:t xml:space="preserve">Management becomes less confident in second-half price/cost or savings offsets.</w:t>
      </w:r>
    </w:p>
    <w:p>
      <w:pPr>
        <w:pStyle w:val="Compact"/>
        <w:numPr>
          <w:ilvl w:val="0"/>
          <w:numId w:val="1005"/>
        </w:numPr>
      </w:pPr>
      <w:r>
        <w:t xml:space="preserve">Decorative Architectural margin deterioration appears structural rather than timing-related.</w:t>
      </w:r>
    </w:p>
    <w:p>
      <w:r>
        <w:pict>
          <v:rect style="width:0;height:1.5pt" o:hralign="center" o:hrstd="t" o:hr="t"/>
        </w:pict>
      </w:r>
    </w:p>
    <w:bookmarkEnd w:id="11"/>
    <w:bookmarkStart w:id="12" w:name="X33bd31a05ef2d058e33d56f1155445a211ac367"/>
    <w:p>
      <w:pPr>
        <w:pStyle w:val="Heading3"/>
      </w:pPr>
      <w:r>
        <w:t xml:space="preserve">3. Commodity inflation and tariffs remain the swing factor for 2H</w:t>
      </w:r>
    </w:p>
    <w:p>
      <w:pPr>
        <w:pStyle w:val="FirstParagraph"/>
      </w:pPr>
      <w:r>
        <w:t xml:space="preserve">Masco’s cost outlook is unusually fluid. Management has said that tariff-policy changes could be favorable relative to its prior assumptions, but that benefit is likely to be offset—or potentially more than offset—by higher commodity and related input costs.</w:t>
      </w:r>
    </w:p>
    <w:p>
      <w:pPr>
        <w:pStyle w:val="BodyText"/>
      </w:pPr>
      <w:r>
        <w:t xml:space="preserve">The major exposures to monitor:</w:t>
      </w:r>
    </w:p>
    <w:p>
      <w:pPr>
        <w:pStyle w:val="Compact"/>
        <w:numPr>
          <w:ilvl w:val="0"/>
          <w:numId w:val="1006"/>
        </w:numPr>
      </w:pPr>
      <w:r>
        <w:rPr>
          <w:b/>
          <w:bCs/>
        </w:rPr>
        <w:t xml:space="preserve">Copper and zinc:</w:t>
      </w:r>
      <w:r>
        <w:t xml:space="preserve"> </w:t>
      </w:r>
      <w:r>
        <w:t xml:space="preserve">particularly relevant to plumbing; higher costs generally work through inventory with a lag, making this more of a second-half issue.</w:t>
      </w:r>
    </w:p>
    <w:p>
      <w:pPr>
        <w:pStyle w:val="Compact"/>
        <w:numPr>
          <w:ilvl w:val="0"/>
          <w:numId w:val="1006"/>
        </w:numPr>
      </w:pPr>
      <w:r>
        <w:rPr>
          <w:b/>
          <w:bCs/>
        </w:rPr>
        <w:t xml:space="preserve">Oil-linked inputs and resins:</w:t>
      </w:r>
      <w:r>
        <w:t xml:space="preserve"> </w:t>
      </w:r>
      <w:r>
        <w:t xml:space="preserve">more immediate pressure for Decorative Architectural/paint, alongside logistics and freight costs.</w:t>
      </w:r>
    </w:p>
    <w:p>
      <w:pPr>
        <w:pStyle w:val="Compact"/>
        <w:numPr>
          <w:ilvl w:val="0"/>
          <w:numId w:val="1006"/>
        </w:numPr>
      </w:pPr>
      <w:r>
        <w:rPr>
          <w:b/>
          <w:bCs/>
        </w:rPr>
        <w:t xml:space="preserve">Tariff mechanics:</w:t>
      </w:r>
      <w:r>
        <w:t xml:space="preserve"> </w:t>
      </w:r>
      <w:r>
        <w:t xml:space="preserve">Masco previously estimated approximately</w:t>
      </w:r>
      <w:r>
        <w:t xml:space="preserve"> </w:t>
      </w:r>
      <w:r>
        <w:rPr>
          <w:b/>
          <w:bCs/>
        </w:rPr>
        <w:t xml:space="preserve">$200 million</w:t>
      </w:r>
      <w:r>
        <w:t xml:space="preserve"> </w:t>
      </w:r>
      <w:r>
        <w:t xml:space="preserve">of incremental tariff cost before mitigation for 2026; management subsequently characterized the net policy impact as uncertain and potentially favorable, but not sufficiently clear to quantify.</w:t>
      </w:r>
    </w:p>
    <w:p>
      <w:pPr>
        <w:pStyle w:val="FirstParagraph"/>
      </w:pPr>
      <w:r>
        <w:t xml:space="preserve">Management’s 2Q commentary should clarify whether the company still sees the full-year net tariff/commodity equation as broadly neutral to modestly negative—and, crucially, whether additional pricing may be necessary.</w:t>
      </w:r>
    </w:p>
    <w:p>
      <w:r>
        <w:pict>
          <v:rect style="width:0;height:1.5pt" o:hralign="center" o:hrstd="t" o:hr="t"/>
        </w:pict>
      </w:r>
    </w:p>
    <w:bookmarkEnd w:id="12"/>
    <w:bookmarkEnd w:id="13"/>
    <w:bookmarkStart w:id="16" w:name="segment-preview"/>
    <w:p>
      <w:pPr>
        <w:pStyle w:val="Heading2"/>
      </w:pPr>
      <w:r>
        <w:t xml:space="preserve">Segment preview</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1Q26 backdrop</w:t>
            </w:r>
          </w:p>
        </w:tc>
        <w:tc>
          <w:tcPr/>
          <w:p>
            <w:pPr>
              <w:pStyle w:val="Compact"/>
            </w:pPr>
            <w:r>
              <w:t xml:space="preserve">What to watch in 2Q</w:t>
            </w:r>
          </w:p>
        </w:tc>
      </w:tr>
      <w:tr>
        <w:tc>
          <w:tcPr/>
          <w:p>
            <w:pPr>
              <w:pStyle w:val="Compact"/>
            </w:pPr>
            <w:r>
              <w:rPr>
                <w:b/>
                <w:bCs/>
              </w:rPr>
              <w:t xml:space="preserve">Plumbing Products</w:t>
            </w:r>
          </w:p>
        </w:tc>
        <w:tc>
          <w:tcPr/>
          <w:p>
            <w:pPr>
              <w:pStyle w:val="Compact"/>
              <w:jc w:val="right"/>
            </w:pPr>
            <w:r>
              <w:t xml:space="preserve">Sales +9%; adjusted margin 18.3%</w:t>
            </w:r>
          </w:p>
        </w:tc>
        <w:tc>
          <w:tcPr/>
          <w:p>
            <w:pPr>
              <w:pStyle w:val="Compact"/>
            </w:pPr>
            <w:r>
              <w:t xml:space="preserve">Volume durability, North America share gains, pricing realization, European demand, China weakness, copper/zinc exposure</w:t>
            </w:r>
          </w:p>
        </w:tc>
      </w:tr>
      <w:tr>
        <w:tc>
          <w:tcPr/>
          <w:p>
            <w:pPr>
              <w:pStyle w:val="Compact"/>
            </w:pPr>
            <w:r>
              <w:rPr>
                <w:b/>
                <w:bCs/>
              </w:rPr>
              <w:t xml:space="preserve">Decorative Architectural Products</w:t>
            </w:r>
          </w:p>
        </w:tc>
        <w:tc>
          <w:tcPr/>
          <w:p>
            <w:pPr>
              <w:pStyle w:val="Compact"/>
              <w:jc w:val="right"/>
            </w:pPr>
            <w:r>
              <w:t xml:space="preserve">Sales flat; adjusted margin 19.0%</w:t>
            </w:r>
          </w:p>
        </w:tc>
        <w:tc>
          <w:tcPr/>
          <w:p>
            <w:pPr>
              <w:pStyle w:val="Compact"/>
            </w:pPr>
            <w:r>
              <w:t xml:space="preserve">PRO paint growth, DIY-paint demand, resin/oil inflation, margin sustainability, Home Depot execution</w:t>
            </w:r>
          </w:p>
        </w:tc>
      </w:tr>
      <w:tr>
        <w:tc>
          <w:tcPr/>
          <w:p>
            <w:pPr>
              <w:pStyle w:val="Compact"/>
            </w:pPr>
            <w:r>
              <w:rPr>
                <w:b/>
                <w:bCs/>
              </w:rPr>
              <w:t xml:space="preserve">Watkins Wellness</w:t>
            </w:r>
          </w:p>
        </w:tc>
        <w:tc>
          <w:tcPr/>
          <w:p>
            <w:pPr>
              <w:pStyle w:val="Compact"/>
              <w:jc w:val="right"/>
            </w:pPr>
            <w:r>
              <w:t xml:space="preserve">Cited as a contributor to plumbing strength</w:t>
            </w:r>
          </w:p>
        </w:tc>
        <w:tc>
          <w:tcPr/>
          <w:p>
            <w:pPr>
              <w:pStyle w:val="Compact"/>
            </w:pPr>
            <w:r>
              <w:t xml:space="preserve">Hot-tub and sauna demand, wellness-category momentum, premium discretionary-spending sensitivity</w:t>
            </w:r>
          </w:p>
        </w:tc>
      </w:tr>
    </w:tbl>
    <w:bookmarkStart w:id="14" w:name="plumbing-best-near-term-source-of-upside"/>
    <w:p>
      <w:pPr>
        <w:pStyle w:val="Heading3"/>
      </w:pPr>
      <w:r>
        <w:t xml:space="preserve">Plumbing: best near-term source of upside</w:t>
      </w:r>
    </w:p>
    <w:p>
      <w:pPr>
        <w:pStyle w:val="FirstParagraph"/>
      </w:pPr>
      <w:r>
        <w:t xml:space="preserve">Masco’s plumbing platform has several favorable self-help drivers: e-commerce leadership, luxury-brand growth, innovation, global projects, and the integration of Liberty Hardware into Delta Faucet. At the May Investor Day, management highlighted a</w:t>
      </w:r>
      <w:r>
        <w:t xml:space="preserve"> </w:t>
      </w:r>
      <w:r>
        <w:rPr>
          <w:b/>
          <w:bCs/>
        </w:rPr>
        <w:t xml:space="preserve">$1.5 billion-plus innovation pipeline</w:t>
      </w:r>
      <w:r>
        <w:t xml:space="preserve"> </w:t>
      </w:r>
      <w:r>
        <w:t xml:space="preserve">and plans to raise new-product vitality toward 30%.</w:t>
      </w:r>
    </w:p>
    <w:p>
      <w:pPr>
        <w:pStyle w:val="BodyText"/>
      </w:pPr>
      <w:r>
        <w:t xml:space="preserve">The downside is macro sensitivity. Management continues to flag consumer confidence, geopolitical uncertainty, Chinese market weakness, and potential cost inflation. A sustained resilient volume result would therefore matter more than price-led growth alone.</w:t>
      </w:r>
    </w:p>
    <w:bookmarkEnd w:id="14"/>
    <w:bookmarkStart w:id="15" w:name="Xa2fe3271552d48d53dffe9a82517b14655ce8af"/>
    <w:p>
      <w:pPr>
        <w:pStyle w:val="Heading3"/>
      </w:pPr>
      <w:r>
        <w:t xml:space="preserve">Decorative Architectural: margin and mix matter more than headline sales</w:t>
      </w:r>
    </w:p>
    <w:p>
      <w:pPr>
        <w:pStyle w:val="FirstParagraph"/>
      </w:pPr>
      <w:r>
        <w:t xml:space="preserve">The paint business has two distinct demand profiles:</w:t>
      </w:r>
    </w:p>
    <w:p>
      <w:pPr>
        <w:pStyle w:val="Compact"/>
        <w:numPr>
          <w:ilvl w:val="0"/>
          <w:numId w:val="1007"/>
        </w:numPr>
      </w:pPr>
      <w:r>
        <w:rPr>
          <w:b/>
          <w:bCs/>
        </w:rPr>
        <w:t xml:space="preserve">PRO paint:</w:t>
      </w:r>
      <w:r>
        <w:t xml:space="preserve"> </w:t>
      </w:r>
      <w:r>
        <w:t xml:space="preserve">grew mid-single digits in 1Q and is expected to grow mid-single digits for the full year.</w:t>
      </w:r>
    </w:p>
    <w:p>
      <w:pPr>
        <w:pStyle w:val="Compact"/>
        <w:numPr>
          <w:ilvl w:val="0"/>
          <w:numId w:val="1007"/>
        </w:numPr>
      </w:pPr>
      <w:r>
        <w:rPr>
          <w:b/>
          <w:bCs/>
        </w:rPr>
        <w:t xml:space="preserve">DIY paint:</w:t>
      </w:r>
      <w:r>
        <w:t xml:space="preserve"> </w:t>
      </w:r>
      <w:r>
        <w:t xml:space="preserve">declined low single digits in 1Q and is expected to decline mid-single digits for the full year, reflecting weak existing-home turnover.</w:t>
      </w:r>
    </w:p>
    <w:p>
      <w:pPr>
        <w:pStyle w:val="FirstParagraph"/>
      </w:pPr>
      <w:r>
        <w:t xml:space="preserve">The bullish interpretation is that Behr can offset soft DIY conditions with PRO share gains, operational savings, and its strategic partnership with Home Depot. The risk is that oil/resin inflation arrives before pricing or productivity can offset it, particularly if DIY spending weakens further.</w:t>
      </w:r>
    </w:p>
    <w:p>
      <w:r>
        <w:pict>
          <v:rect style="width:0;height:1.5pt" o:hralign="center" o:hrstd="t" o:hr="t"/>
        </w:pict>
      </w:r>
    </w:p>
    <w:bookmarkEnd w:id="15"/>
    <w:bookmarkEnd w:id="16"/>
    <w:bookmarkStart w:id="17" w:name="guidance-the-most-important-scoreboard"/>
    <w:p>
      <w:pPr>
        <w:pStyle w:val="Heading2"/>
      </w:pPr>
      <w:r>
        <w:t xml:space="preserve">Guidance: the most important scoreboard</w:t>
      </w:r>
    </w:p>
    <w:p>
      <w:pPr>
        <w:pStyle w:val="FirstParagraph"/>
      </w:pPr>
      <w:r>
        <w:t xml:space="preserve">Masco maintained its 2026 outlook after 1Q:</w:t>
      </w:r>
    </w:p>
    <w:p>
      <w:pPr>
        <w:pStyle w:val="Compact"/>
        <w:numPr>
          <w:ilvl w:val="0"/>
          <w:numId w:val="1008"/>
        </w:numPr>
      </w:pPr>
      <w:r>
        <w:rPr>
          <w:b/>
          <w:bCs/>
        </w:rPr>
        <w:t xml:space="preserve">Sales:</w:t>
      </w:r>
      <w:r>
        <w:t xml:space="preserve"> </w:t>
      </w:r>
      <w:r>
        <w:t xml:space="preserve">up low single digits.</w:t>
      </w:r>
    </w:p>
    <w:p>
      <w:pPr>
        <w:pStyle w:val="Compact"/>
        <w:numPr>
          <w:ilvl w:val="0"/>
          <w:numId w:val="1008"/>
        </w:numPr>
      </w:pPr>
      <w:r>
        <w:rPr>
          <w:b/>
          <w:bCs/>
        </w:rPr>
        <w:t xml:space="preserve">Adjusted operating margin:</w:t>
      </w:r>
      <w:r>
        <w:t xml:space="preserve"> </w:t>
      </w:r>
      <w:r>
        <w:t xml:space="preserve">approximately</w:t>
      </w:r>
      <w:r>
        <w:t xml:space="preserve"> </w:t>
      </w:r>
      <w:r>
        <w:rPr>
          <w:b/>
          <w:bCs/>
        </w:rPr>
        <w:t xml:space="preserve">17%</w:t>
      </w:r>
      <w:r>
        <w:t xml:space="preserve">.</w:t>
      </w:r>
    </w:p>
    <w:p>
      <w:pPr>
        <w:pStyle w:val="Compact"/>
        <w:numPr>
          <w:ilvl w:val="0"/>
          <w:numId w:val="1008"/>
        </w:numPr>
      </w:pPr>
      <w:r>
        <w:rPr>
          <w:b/>
          <w:bCs/>
        </w:rPr>
        <w:t xml:space="preserve">Adjusted EPS:</w:t>
      </w:r>
      <w:r>
        <w:t xml:space="preserve"> </w:t>
      </w:r>
      <m:oMath>
        <m:r>
          <m:t>4.10</m:t>
        </m:r>
        <m:r>
          <m:rPr>
            <m:sty m:val="p"/>
          </m:rPr>
          <m:t>–</m:t>
        </m:r>
      </m:oMath>
      <w:r>
        <w:rPr>
          <w:b/>
          <w:bCs/>
        </w:rPr>
        <w:t xml:space="preserve">4.30</w:t>
      </w:r>
      <w:r>
        <w:t xml:space="preserve">.</w:t>
      </w:r>
    </w:p>
    <w:p>
      <w:pPr>
        <w:pStyle w:val="Compact"/>
        <w:numPr>
          <w:ilvl w:val="0"/>
          <w:numId w:val="1008"/>
        </w:numPr>
      </w:pPr>
      <w:r>
        <w:rPr>
          <w:b/>
          <w:bCs/>
        </w:rPr>
        <w:t xml:space="preserve">Plumbing:</w:t>
      </w:r>
      <w:r>
        <w:t xml:space="preserve"> </w:t>
      </w:r>
      <w:r>
        <w:t xml:space="preserve">sales up low single digits; operating margin around</w:t>
      </w:r>
      <w:r>
        <w:t xml:space="preserve"> </w:t>
      </w:r>
      <w:r>
        <w:rPr>
          <w:b/>
          <w:bCs/>
        </w:rPr>
        <w:t xml:space="preserve">18%</w:t>
      </w:r>
      <w:r>
        <w:t xml:space="preserve">.</w:t>
      </w:r>
    </w:p>
    <w:p>
      <w:pPr>
        <w:pStyle w:val="Compact"/>
        <w:numPr>
          <w:ilvl w:val="0"/>
          <w:numId w:val="1008"/>
        </w:numPr>
      </w:pPr>
      <w:r>
        <w:rPr>
          <w:b/>
          <w:bCs/>
        </w:rPr>
        <w:t xml:space="preserve">Decorative Architectural:</w:t>
      </w:r>
      <w:r>
        <w:t xml:space="preserve"> </w:t>
      </w:r>
      <w:r>
        <w:t xml:space="preserve">sales roughly flat; operating margin around</w:t>
      </w:r>
      <w:r>
        <w:t xml:space="preserve"> </w:t>
      </w:r>
      <w:r>
        <w:rPr>
          <w:b/>
          <w:bCs/>
        </w:rPr>
        <w:t xml:space="preserve">19%</w:t>
      </w:r>
      <w:r>
        <w:t xml:space="preserve">.</w:t>
      </w:r>
    </w:p>
    <w:p>
      <w:pPr>
        <w:pStyle w:val="Compact"/>
        <w:numPr>
          <w:ilvl w:val="0"/>
          <w:numId w:val="1008"/>
        </w:numPr>
      </w:pPr>
      <w:r>
        <w:rPr>
          <w:b/>
          <w:bCs/>
        </w:rPr>
        <w:t xml:space="preserve">Average diluted share count:</w:t>
      </w:r>
      <w:r>
        <w:t xml:space="preserve"> </w:t>
      </w:r>
      <w:r>
        <w:t xml:space="preserve">about</w:t>
      </w:r>
      <w:r>
        <w:t xml:space="preserve"> </w:t>
      </w:r>
      <w:r>
        <w:rPr>
          <w:b/>
          <w:bCs/>
        </w:rPr>
        <w:t xml:space="preserve">200 million</w:t>
      </w:r>
      <w:r>
        <w:t xml:space="preserve">, reflecting increased repurchases.</w:t>
      </w:r>
    </w:p>
    <w:p>
      <w:pPr>
        <w:pStyle w:val="Compact"/>
        <w:numPr>
          <w:ilvl w:val="0"/>
          <w:numId w:val="1008"/>
        </w:numPr>
      </w:pPr>
      <w:r>
        <w:rPr>
          <w:b/>
          <w:bCs/>
        </w:rPr>
        <w:t xml:space="preserve">Capital deployment:</w:t>
      </w:r>
      <w:r>
        <w:t xml:space="preserve"> </w:t>
      </w:r>
      <w:r>
        <w:t xml:space="preserve">at least</w:t>
      </w:r>
      <w:r>
        <w:t xml:space="preserve"> </w:t>
      </w:r>
      <w:r>
        <w:rPr>
          <w:b/>
          <w:bCs/>
        </w:rPr>
        <w:t xml:space="preserve">$800 million</w:t>
      </w:r>
      <w:r>
        <w:t xml:space="preserve"> </w:t>
      </w:r>
      <w:r>
        <w:t xml:space="preserve">toward repurchases or acquisitions in 2026, up from a prior $600 million expectation.</w:t>
      </w:r>
    </w:p>
    <w:p>
      <w:pPr>
        <w:pStyle w:val="FirstParagraph"/>
      </w:pPr>
      <w:r>
        <w:t xml:space="preserve">Management indicated that the current base case supports the</w:t>
      </w:r>
      <w:r>
        <w:t xml:space="preserve"> </w:t>
      </w:r>
      <w:r>
        <w:rPr>
          <w:b/>
          <w:bCs/>
        </w:rPr>
        <w:t xml:space="preserve">middle of the EPS range</w:t>
      </w:r>
      <w:r>
        <w:t xml:space="preserve">. Thus, a simple reiteration may be adequate, but investors will likely reward either: (1) a firmer midpoint-plus posture, or (2) evidence that resilient demand and share gains can overcome second-half commodity headwinds.</w:t>
      </w:r>
    </w:p>
    <w:p>
      <w:r>
        <w:pict>
          <v:rect style="width:0;height:1.5pt" o:hralign="center" o:hrstd="t" o:hr="t"/>
        </w:pict>
      </w:r>
    </w:p>
    <w:bookmarkEnd w:id="17"/>
    <w:bookmarkStart w:id="18" w:name="bull-case-into-the-print"/>
    <w:p>
      <w:pPr>
        <w:pStyle w:val="Heading2"/>
      </w:pPr>
      <w:r>
        <w:t xml:space="preserve">Bull case into the print</w:t>
      </w:r>
    </w:p>
    <w:p>
      <w:pPr>
        <w:pStyle w:val="FirstParagraph"/>
      </w:pPr>
      <w:r>
        <w:t xml:space="preserve">A positive report would likely include:</w:t>
      </w:r>
    </w:p>
    <w:p>
      <w:pPr>
        <w:pStyle w:val="Compact"/>
        <w:numPr>
          <w:ilvl w:val="0"/>
          <w:numId w:val="1009"/>
        </w:numPr>
      </w:pPr>
      <w:r>
        <w:rPr>
          <w:b/>
          <w:bCs/>
        </w:rPr>
        <w:t xml:space="preserve">Another resilient plumbing volume performance</w:t>
      </w:r>
      <w:r>
        <w:t xml:space="preserve">, especially in North America.</w:t>
      </w:r>
    </w:p>
    <w:p>
      <w:pPr>
        <w:pStyle w:val="Compact"/>
        <w:numPr>
          <w:ilvl w:val="0"/>
          <w:numId w:val="1009"/>
        </w:numPr>
      </w:pPr>
      <w:r>
        <w:t xml:space="preserve">Clear evidence that Delta’s share gains span channels and are not merely pricing or inventory timing.</w:t>
      </w:r>
    </w:p>
    <w:p>
      <w:pPr>
        <w:pStyle w:val="Compact"/>
        <w:numPr>
          <w:ilvl w:val="0"/>
          <w:numId w:val="1009"/>
        </w:numPr>
      </w:pPr>
      <w:r>
        <w:t xml:space="preserve">Better-than-feared 2Q margin performance, even if still down year over year.</w:t>
      </w:r>
    </w:p>
    <w:p>
      <w:pPr>
        <w:pStyle w:val="Compact"/>
        <w:numPr>
          <w:ilvl w:val="0"/>
          <w:numId w:val="1009"/>
        </w:numPr>
      </w:pPr>
      <w:r>
        <w:t xml:space="preserve">Continued PRO-paint growth and stable/controlled DIY trends.</w:t>
      </w:r>
    </w:p>
    <w:p>
      <w:pPr>
        <w:pStyle w:val="Compact"/>
        <w:numPr>
          <w:ilvl w:val="0"/>
          <w:numId w:val="1009"/>
        </w:numPr>
      </w:pPr>
      <w:r>
        <w:t xml:space="preserve">Reaffirmed confidence in second-half margin expansion and the</w:t>
      </w:r>
      <w:r>
        <w:t xml:space="preserve"> </w:t>
      </w:r>
      <m:oMath>
        <m:r>
          <m:t>4.10</m:t>
        </m:r>
        <m:r>
          <m:rPr>
            <m:sty m:val="p"/>
          </m:rPr>
          <m:t>–</m:t>
        </m:r>
      </m:oMath>
      <w:r>
        <w:t xml:space="preserve">4.30 EPS range.</w:t>
      </w:r>
    </w:p>
    <w:p>
      <w:pPr>
        <w:pStyle w:val="Compact"/>
        <w:numPr>
          <w:ilvl w:val="0"/>
          <w:numId w:val="1009"/>
        </w:numPr>
      </w:pPr>
      <w:r>
        <w:t xml:space="preserve">Incremental buyback execution, reinforcing the favorable share-count tailwind.</w:t>
      </w:r>
    </w:p>
    <w:p>
      <w:r>
        <w:pict>
          <v:rect style="width:0;height:1.5pt" o:hralign="center" o:hrstd="t" o:hr="t"/>
        </w:pict>
      </w:r>
    </w:p>
    <w:bookmarkEnd w:id="18"/>
    <w:bookmarkStart w:id="19" w:name="bear-case-into-the-print"/>
    <w:p>
      <w:pPr>
        <w:pStyle w:val="Heading2"/>
      </w:pPr>
      <w:r>
        <w:t xml:space="preserve">Bear case into the print</w:t>
      </w:r>
    </w:p>
    <w:p>
      <w:pPr>
        <w:pStyle w:val="FirstParagraph"/>
      </w:pPr>
      <w:r>
        <w:t xml:space="preserve">The main risks are:</w:t>
      </w:r>
    </w:p>
    <w:p>
      <w:pPr>
        <w:pStyle w:val="Compact"/>
        <w:numPr>
          <w:ilvl w:val="0"/>
          <w:numId w:val="1010"/>
        </w:numPr>
      </w:pPr>
      <w:r>
        <w:rPr>
          <w:b/>
          <w:bCs/>
        </w:rPr>
        <w:t xml:space="preserve">A sharper consumer slowdown</w:t>
      </w:r>
      <w:r>
        <w:t xml:space="preserve"> </w:t>
      </w:r>
      <w:r>
        <w:t xml:space="preserve">in plumbing or discretionary wellness products.</w:t>
      </w:r>
    </w:p>
    <w:p>
      <w:pPr>
        <w:pStyle w:val="Compact"/>
        <w:numPr>
          <w:ilvl w:val="0"/>
          <w:numId w:val="1010"/>
        </w:numPr>
      </w:pPr>
      <w:r>
        <w:t xml:space="preserve">Weak DIY paint demand, potentially compounded by soft existing-home turnover.</w:t>
      </w:r>
    </w:p>
    <w:p>
      <w:pPr>
        <w:pStyle w:val="Compact"/>
        <w:numPr>
          <w:ilvl w:val="0"/>
          <w:numId w:val="1010"/>
        </w:numPr>
      </w:pPr>
      <w:r>
        <w:t xml:space="preserve">More severe commodity, resin, freight, or tariff pressure than management contemplated.</w:t>
      </w:r>
    </w:p>
    <w:p>
      <w:pPr>
        <w:pStyle w:val="Compact"/>
        <w:numPr>
          <w:ilvl w:val="0"/>
          <w:numId w:val="1010"/>
        </w:numPr>
      </w:pPr>
      <w:r>
        <w:t xml:space="preserve">Incremental pricing that raises concerns about demand elasticity.</w:t>
      </w:r>
    </w:p>
    <w:p>
      <w:pPr>
        <w:pStyle w:val="Compact"/>
        <w:numPr>
          <w:ilvl w:val="0"/>
          <w:numId w:val="1010"/>
        </w:numPr>
      </w:pPr>
      <w:r>
        <w:t xml:space="preserve">A weaker-than-expected second-half setup, especially if management cannot reaffirm margin expansion.</w:t>
      </w:r>
    </w:p>
    <w:p>
      <w:pPr>
        <w:pStyle w:val="Compact"/>
        <w:numPr>
          <w:ilvl w:val="0"/>
          <w:numId w:val="1010"/>
        </w:numPr>
      </w:pPr>
      <w:r>
        <w:t xml:space="preserve">Further deterioration in China or softness in European plumbing markets.</w:t>
      </w:r>
    </w:p>
    <w:p>
      <w:r>
        <w:pict>
          <v:rect style="width:0;height:1.5pt" o:hralign="center" o:hrstd="t" o:hr="t"/>
        </w:pict>
      </w:r>
    </w:p>
    <w:bookmarkEnd w:id="19"/>
    <w:bookmarkStart w:id="20" w:name="key-questions-for-the-call"/>
    <w:p>
      <w:pPr>
        <w:pStyle w:val="Heading2"/>
      </w:pPr>
      <w:r>
        <w:t xml:space="preserve">Key questions for the call</w:t>
      </w:r>
    </w:p>
    <w:p>
      <w:pPr>
        <w:pStyle w:val="Compact"/>
        <w:numPr>
          <w:ilvl w:val="0"/>
          <w:numId w:val="1011"/>
        </w:numPr>
      </w:pPr>
      <w:r>
        <w:rPr>
          <w:b/>
          <w:bCs/>
        </w:rPr>
        <w:t xml:space="preserve">Plumbing demand:</w:t>
      </w:r>
      <w:r>
        <w:t xml:space="preserve"> </w:t>
      </w:r>
      <w:r>
        <w:t xml:space="preserve">How did volume trend versus 1Q, and did Masco continue gaining share in all North American channels?</w:t>
      </w:r>
    </w:p>
    <w:p>
      <w:pPr>
        <w:pStyle w:val="Compact"/>
        <w:numPr>
          <w:ilvl w:val="0"/>
          <w:numId w:val="1011"/>
        </w:numPr>
      </w:pPr>
      <w:r>
        <w:rPr>
          <w:b/>
          <w:bCs/>
        </w:rPr>
        <w:t xml:space="preserve">Margins:</w:t>
      </w:r>
      <w:r>
        <w:t xml:space="preserve"> </w:t>
      </w:r>
      <w:r>
        <w:t xml:space="preserve">How much did consolidated and segment margins contract in 2Q, and does management still expect clear second-half expansion?</w:t>
      </w:r>
    </w:p>
    <w:p>
      <w:pPr>
        <w:pStyle w:val="Compact"/>
        <w:numPr>
          <w:ilvl w:val="0"/>
          <w:numId w:val="1011"/>
        </w:numPr>
      </w:pPr>
      <w:r>
        <w:rPr>
          <w:b/>
          <w:bCs/>
        </w:rPr>
        <w:t xml:space="preserve">Price/cost:</w:t>
      </w:r>
      <w:r>
        <w:t xml:space="preserve"> </w:t>
      </w:r>
      <w:r>
        <w:t xml:space="preserve">Has the expected commodity headwind changed, particularly for copper, zinc, oil-linked resins, and freight?</w:t>
      </w:r>
    </w:p>
    <w:p>
      <w:pPr>
        <w:pStyle w:val="Compact"/>
        <w:numPr>
          <w:ilvl w:val="0"/>
          <w:numId w:val="1011"/>
        </w:numPr>
      </w:pPr>
      <w:r>
        <w:rPr>
          <w:b/>
          <w:bCs/>
        </w:rPr>
        <w:t xml:space="preserve">Paint:</w:t>
      </w:r>
      <w:r>
        <w:t xml:space="preserve"> </w:t>
      </w:r>
      <w:r>
        <w:t xml:space="preserve">Is PRO still growing at a mid-single-digit rate, and has DIY weakened beyond the company’s prior mid-single-digit-decline expectation?</w:t>
      </w:r>
    </w:p>
    <w:p>
      <w:pPr>
        <w:pStyle w:val="Compact"/>
        <w:numPr>
          <w:ilvl w:val="0"/>
          <w:numId w:val="1011"/>
        </w:numPr>
      </w:pPr>
      <w:r>
        <w:rPr>
          <w:b/>
          <w:bCs/>
        </w:rPr>
        <w:t xml:space="preserve">Guidance:</w:t>
      </w:r>
      <w:r>
        <w:t xml:space="preserve"> </w:t>
      </w:r>
      <w:r>
        <w:t xml:space="preserve">Does management still view the midpoint of adjusted EPS guidance as the most likely outcome?</w:t>
      </w:r>
    </w:p>
    <w:p>
      <w:pPr>
        <w:pStyle w:val="Compact"/>
        <w:numPr>
          <w:ilvl w:val="0"/>
          <w:numId w:val="1011"/>
        </w:numPr>
      </w:pPr>
      <w:r>
        <w:rPr>
          <w:b/>
          <w:bCs/>
        </w:rPr>
        <w:t xml:space="preserve">Capital allocation:</w:t>
      </w:r>
      <w:r>
        <w:t xml:space="preserve"> </w:t>
      </w:r>
      <w:r>
        <w:t xml:space="preserve">How much stock has been repurchased year to date, and is the company actively utilizing the expanded $800 million-plus deployment capacity?</w:t>
      </w:r>
    </w:p>
    <w:p>
      <w:pPr>
        <w:pStyle w:val="Compact"/>
        <w:numPr>
          <w:ilvl w:val="0"/>
          <w:numId w:val="1011"/>
        </w:numPr>
      </w:pPr>
      <w:r>
        <w:rPr>
          <w:b/>
          <w:bCs/>
        </w:rPr>
        <w:t xml:space="preserve">Demand indicators:</w:t>
      </w:r>
      <w:r>
        <w:t xml:space="preserve"> </w:t>
      </w:r>
      <w:r>
        <w:t xml:space="preserve">What is Masco seeing in consumer confidence, project timing, existing-home turnover, and high-end/luxury spending?</w:t>
      </w:r>
    </w:p>
    <w:p>
      <w:r>
        <w:pict>
          <v:rect style="width:0;height:1.5pt" o:hralign="center" o:hrstd="t" o:hr="t"/>
        </w:pict>
      </w:r>
    </w:p>
    <w:bookmarkEnd w:id="20"/>
    <w:bookmarkStart w:id="22" w:name="investment-view"/>
    <w:p>
      <w:pPr>
        <w:pStyle w:val="Heading2"/>
      </w:pPr>
      <w:r>
        <w:t xml:space="preserve">Investment view</w:t>
      </w:r>
    </w:p>
    <w:p>
      <w:pPr>
        <w:pStyle w:val="FirstParagraph"/>
      </w:pPr>
      <w:r>
        <w:t xml:space="preserve">Masco’s near-term setup is balanced but attractive if one believes its 1Q plumbing momentum was principally market-share driven rather than temporary. The company has credible operational levers—restructuring, procurement, footprint changes, selective pricing, and buybacks—to protect earnings while repair-and-remodel demand remains uneven.</w:t>
      </w:r>
    </w:p>
    <w:p>
      <w:pPr>
        <w:pStyle w:val="BodyText"/>
      </w:pPr>
      <w:r>
        <w:t xml:space="preserve">However, the stock’s strong run into earnings raises the reporting bar. The most constructive outcome is not necessarily a large 2Q headline beat; it is a report that demonstrates</w:t>
      </w:r>
      <w:r>
        <w:t xml:space="preserve"> </w:t>
      </w:r>
      <w:r>
        <w:rPr>
          <w:b/>
          <w:bCs/>
        </w:rPr>
        <w:t xml:space="preserve">continued plumbing share gains, controlled margin pressure, and a credible path to the guided second-half earnings inflection.</w:t>
      </w:r>
    </w:p>
    <w:bookmarkStart w:id="21" w:name="sources-reviewed"/>
    <w:p>
      <w:pPr>
        <w:pStyle w:val="Heading3"/>
      </w:pPr>
      <w:r>
        <w:t xml:space="preserve">Sources reviewed</w:t>
      </w:r>
    </w:p>
    <w:p>
      <w:pPr>
        <w:pStyle w:val="Compact"/>
        <w:numPr>
          <w:ilvl w:val="0"/>
          <w:numId w:val="1012"/>
        </w:numPr>
      </w:pPr>
      <w:r>
        <w:t xml:space="preserve">Masco 1Q26 earnings release and 1Q26 earnings-call transcript, April 22, 2026.</w:t>
      </w:r>
    </w:p>
    <w:p>
      <w:pPr>
        <w:pStyle w:val="Compact"/>
        <w:numPr>
          <w:ilvl w:val="0"/>
          <w:numId w:val="1012"/>
        </w:numPr>
      </w:pPr>
      <w:r>
        <w:t xml:space="preserve">Masco Investor Day transcript, May 13, 2026.</w:t>
      </w:r>
    </w:p>
    <w:p>
      <w:pPr>
        <w:pStyle w:val="Compact"/>
        <w:numPr>
          <w:ilvl w:val="0"/>
          <w:numId w:val="1012"/>
        </w:numPr>
      </w:pPr>
      <w:r>
        <w:t xml:space="preserve">MAS historical share-price data through July 28, 2026.</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2026-07-29T00:15:57Z</dcterms:created>
  <dcterms:modified xsi:type="dcterms:W3CDTF">2026-07-29T00:15:57Z</dcterms:modified>
</cp:coreProperties>
</file>

<file path=docProps/custom.xml><?xml version="1.0" encoding="utf-8"?>
<Properties xmlns="http://schemas.openxmlformats.org/officeDocument/2006/custom-properties" xmlns:vt="http://schemas.openxmlformats.org/officeDocument/2006/docPropsVTypes"/>
</file>