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Masco Corporation (MAS) — Q2 2026 Earnings Preview</w:t>
      </w:r>
    </w:p>
    <w:p>
      <w:r>
        <w:rPr>
          <w:rFonts w:ascii="Calibri" w:hAnsi="Calibri"/>
          <w:b/>
          <w:color w:val="525866"/>
          <w:sz w:val="22"/>
        </w:rPr>
        <w:t xml:space="preserve">Ticker: </w:t>
      </w:r>
      <w:r>
        <w:rPr>
          <w:rFonts w:ascii="Calibri" w:hAnsi="Calibri"/>
          <w:color w:val="525866"/>
          <w:sz w:val="22"/>
        </w:rPr>
        <w:t xml:space="preserve">MAS  </w:t>
      </w:r>
      <w:r>
        <w:rPr>
          <w:rFonts w:ascii="Calibri" w:hAnsi="Calibri"/>
          <w:b/>
          <w:color w:val="525866"/>
          <w:sz w:val="22"/>
        </w:rPr>
        <w:t xml:space="preserve">  |  Upcoming Quarter: </w:t>
      </w:r>
      <w:r>
        <w:rPr>
          <w:rFonts w:ascii="Calibri" w:hAnsi="Calibri"/>
          <w:color w:val="525866"/>
          <w:sz w:val="22"/>
        </w:rPr>
        <w:t xml:space="preserve">Q2 2026  </w:t>
      </w:r>
      <w:r>
        <w:rPr>
          <w:rFonts w:ascii="Calibri" w:hAnsi="Calibri"/>
          <w:b/>
          <w:color w:val="525866"/>
          <w:sz w:val="22"/>
        </w:rPr>
        <w:t xml:space="preserve">  |  Last Earnings: </w:t>
      </w:r>
      <w:r>
        <w:rPr>
          <w:rFonts w:ascii="Calibri" w:hAnsi="Calibri"/>
          <w:color w:val="525866"/>
          <w:sz w:val="22"/>
        </w:rPr>
        <w:t xml:space="preserve">April 22, 2026 (Q1 2026)  </w:t>
      </w:r>
      <w:r>
        <w:rPr>
          <w:rFonts w:ascii="Calibri" w:hAnsi="Calibri"/>
          <w:b/>
          <w:color w:val="525866"/>
          <w:sz w:val="22"/>
        </w:rPr>
        <w:t xml:space="preserve">  |  Prepared: </w:t>
      </w:r>
      <w:r>
        <w:rPr>
          <w:rFonts w:ascii="Calibri" w:hAnsi="Calibri"/>
          <w:color w:val="525866"/>
          <w:sz w:val="22"/>
        </w:rPr>
        <w:t>July 28,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modestly constructive — consensus sits just above the FY guidance midpoint and the Q1 beat has already been absorbed, making the bar achievable but not easy; the single biggest swing factor is whether commodity cost inflation (copper, oil/resins) in Q2 is worse than the mid-single-digit full-year assumption management embedded in guidance.</w:t>
      </w:r>
    </w:p>
    <w:p>
      <w:r>
        <w:rPr>
          <w:rFonts w:ascii="Calibri" w:hAnsi="Calibri"/>
          <w:color w:val="525866"/>
          <w:sz w:val="22"/>
        </w:rPr>
        <w:t xml:space="preserve">Heading into Q2 2026, the bar for MAS is reasonable but not low: consensus expects net sales of ~$2.08B and operating EPS of ~$1.31, implying roughly flat-to-modest year-over-year growth against a tough Q2 2025 comp (20% operating margin, the strongest quarter of last year). </w:t>
      </w:r>
      <w:r>
        <w:rPr>
          <w:rFonts w:ascii="Calibri" w:hAnsi="Calibri"/>
          <w:b/>
          <w:color w:val="525866"/>
          <w:sz w:val="22"/>
        </w:rPr>
        <w:t>Management explicitly flagged Q2 as the most challenging year-over-year margin comparison on the Q1 call</w:t>
      </w:r>
      <w:r>
        <w:rPr>
          <w:rFonts w:ascii="Calibri" w:hAnsi="Calibri"/>
          <w:color w:val="525866"/>
          <w:sz w:val="22"/>
        </w:rPr>
        <w:t xml:space="preserve">, guiding for contraction versus the prior-year 20%+ margin, yet still characterizing the quarter as "very solid." Guidance tone has been constructive since the Q1 beat — the Investor Day on May 13 reinforced long-term targets (18%+ operating margin by 2028, ~10% EPS CAGR) and management raised the capital return target to at least $800M — but the commodity cost narrative has shifted from a tailwind to a headwind, with </w:t>
      </w:r>
      <w:r>
        <w:rPr>
          <w:rFonts w:ascii="Calibri" w:hAnsi="Calibri"/>
          <w:b/>
          <w:color w:val="525866"/>
          <w:sz w:val="22"/>
        </w:rPr>
        <w:t>copper, zinc, and oil/resin inflation now expected to more than offset tariff favorability</w:t>
      </w:r>
      <w:r>
        <w:rPr>
          <w:rFonts w:ascii="Calibri" w:hAnsi="Calibri"/>
          <w:color w:val="525866"/>
          <w:sz w:val="22"/>
        </w:rPr>
        <w:t xml:space="preserve">. Estimate revisions have been essentially flat since the Q1 print, with Q2 consensus barely moving from the post-earnings baseline, suggesting the Street has already digested the guidance and is not pricing in incremental upside. The stock has recovered from the mid-$60s post-Investor Day trough to ~$81 today (+10% since last earnings), outperforming XHB (+1%) and SPY (+4%), so some beat premium is already embedded in the price. The key wildcard is </w:t>
      </w:r>
      <w:r>
        <w:rPr>
          <w:rFonts w:ascii="Calibri" w:hAnsi="Calibri"/>
          <w:b/>
          <w:color w:val="525866"/>
          <w:sz w:val="22"/>
        </w:rPr>
        <w:t>the magnitude of commodity cost pressure in Q2 — particularly oil/resin costs hitting Decorative Architectural margins — which management described as a "near-term" (1–2 quarter) headwind that was not fully quantified at the time of Q1 guidance.</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Q2 2025 was MAS’s strongest margin quarter of the year (20.2% operating margin), making the year-over-year comp the toughest of 2026. </w:t>
      </w:r>
      <w:r>
        <w:rPr>
          <w:rFonts w:ascii="Calibri" w:hAnsi="Calibri"/>
          <w:b/>
          <w:color w:val="525866"/>
          <w:sz w:val="22"/>
        </w:rPr>
        <w:t>Plumbing revenue and segment margin are the bigger swing factors</w:t>
      </w:r>
      <w:r>
        <w:rPr>
          <w:rFonts w:ascii="Calibri" w:hAnsi="Calibri"/>
          <w:color w:val="525866"/>
          <w:sz w:val="22"/>
        </w:rPr>
        <w:t>; Decorative Architectural faces a commodity cost headwind from oil/resins that could pressure the ~21% margin consensus expects.</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rPr>
                <w:rFonts w:ascii="Calibri" w:hAnsi="Calibri"/>
                <w:b/>
                <w:sz w:val="22"/>
              </w:rPr>
              <w:t>KPI</w:t>
            </w:r>
          </w:p>
        </w:tc>
        <w:tc>
          <w:tcPr>
            <w:tcW w:type="dxa" w:w="1234"/>
          </w:tcPr>
          <w:p>
            <w:r>
              <w:rPr>
                <w:rFonts w:ascii="Calibri" w:hAnsi="Calibri"/>
                <w:b/>
                <w:sz w:val="22"/>
              </w:rPr>
              <w:t>Q1 2026 Actual</w:t>
            </w:r>
          </w:p>
        </w:tc>
        <w:tc>
          <w:tcPr>
            <w:tcW w:type="dxa" w:w="1234"/>
          </w:tcPr>
          <w:p>
            <w:r>
              <w:rPr>
                <w:rFonts w:ascii="Calibri" w:hAnsi="Calibri"/>
                <w:b/>
                <w:sz w:val="22"/>
              </w:rPr>
              <w:t>Q2 2025 Actual (Prior Year)</w:t>
            </w:r>
          </w:p>
        </w:tc>
        <w:tc>
          <w:tcPr>
            <w:tcW w:type="dxa" w:w="1234"/>
          </w:tcPr>
          <w:p>
            <w:r>
              <w:rPr>
                <w:rFonts w:ascii="Calibri" w:hAnsi="Calibri"/>
                <w:b/>
                <w:sz w:val="22"/>
              </w:rPr>
              <w:t>Q2 2026 Consensus Estimate</w:t>
            </w:r>
          </w:p>
        </w:tc>
        <w:tc>
          <w:tcPr>
            <w:tcW w:type="dxa" w:w="1234"/>
          </w:tcPr>
          <w:p>
            <w:r>
              <w:rPr>
                <w:rFonts w:ascii="Calibri" w:hAnsi="Calibri"/>
                <w:b/>
                <w:sz w:val="22"/>
              </w:rPr>
              <w:t>YoY Change</w:t>
            </w:r>
          </w:p>
        </w:tc>
        <w:tc>
          <w:tcPr>
            <w:tcW w:type="dxa" w:w="1234"/>
          </w:tcPr>
          <w:p>
            <w:r>
              <w:rPr>
                <w:rFonts w:ascii="Calibri" w:hAnsi="Calibri"/>
                <w:b/>
                <w:sz w:val="22"/>
              </w:rPr>
              <w:t>FY 2026 Guidance</w:t>
            </w:r>
          </w:p>
        </w:tc>
        <w:tc>
          <w:tcPr>
            <w:tcW w:type="dxa" w:w="1234"/>
          </w:tcPr>
          <w:p>
            <w:r>
              <w:rPr>
                <w:rFonts w:ascii="Calibri" w:hAnsi="Calibri"/>
                <w:b/>
                <w:sz w:val="22"/>
              </w:rPr>
              <w:t>Consensus vs. Guidance</w:t>
            </w:r>
          </w:p>
        </w:tc>
      </w:tr>
      <w:tr>
        <w:tc>
          <w:tcPr>
            <w:tcW w:type="dxa" w:w="1234"/>
          </w:tcPr>
          <w:p>
            <w:r>
              <w:rPr>
                <w:rFonts w:ascii="Calibri" w:hAnsi="Calibri"/>
                <w:sz w:val="22"/>
              </w:rPr>
              <w:t>Net Sales ($M)</w:t>
            </w:r>
          </w:p>
        </w:tc>
        <w:tc>
          <w:tcPr>
            <w:tcW w:type="dxa" w:w="1234"/>
          </w:tcPr>
          <w:p>
            <w:r>
              <w:rPr>
                <w:rFonts w:ascii="Calibri" w:hAnsi="Calibri"/>
                <w:sz w:val="22"/>
              </w:rPr>
              <w:t>$1,918</w:t>
            </w:r>
          </w:p>
        </w:tc>
        <w:tc>
          <w:tcPr>
            <w:tcW w:type="dxa" w:w="1234"/>
          </w:tcPr>
          <w:p>
            <w:r>
              <w:rPr>
                <w:rFonts w:ascii="Calibri" w:hAnsi="Calibri"/>
                <w:sz w:val="22"/>
              </w:rPr>
              <w:t>$2,051</w:t>
            </w:r>
          </w:p>
        </w:tc>
        <w:tc>
          <w:tcPr>
            <w:tcW w:type="dxa" w:w="1234"/>
          </w:tcPr>
          <w:p>
            <w:r>
              <w:rPr>
                <w:rFonts w:ascii="Calibri" w:hAnsi="Calibri"/>
                <w:sz w:val="22"/>
              </w:rPr>
              <w:t>$2,079</w:t>
            </w:r>
          </w:p>
        </w:tc>
        <w:tc>
          <w:tcPr>
            <w:tcW w:type="dxa" w:w="1234"/>
          </w:tcPr>
          <w:p>
            <w:r>
              <w:rPr>
                <w:rFonts w:ascii="Calibri" w:hAnsi="Calibri"/>
                <w:sz w:val="22"/>
              </w:rPr>
              <w:t>+1.4%</w:t>
            </w:r>
          </w:p>
        </w:tc>
        <w:tc>
          <w:tcPr>
            <w:tcW w:type="dxa" w:w="1234"/>
          </w:tcPr>
          <w:p>
            <w:r>
              <w:rPr>
                <w:rFonts w:ascii="Calibri" w:hAnsi="Calibri"/>
                <w:sz w:val="22"/>
              </w:rPr>
              <w:t>Up low single digits</w:t>
            </w:r>
          </w:p>
        </w:tc>
        <w:tc>
          <w:tcPr>
            <w:tcW w:type="dxa" w:w="1234"/>
          </w:tcPr>
          <w:p>
            <w:r>
              <w:rPr>
                <w:rFonts w:ascii="Calibri" w:hAnsi="Calibri"/>
                <w:sz w:val="22"/>
              </w:rPr>
              <w:t>~+1–2% vs. FY midpoint implied</w:t>
            </w:r>
          </w:p>
        </w:tc>
      </w:tr>
      <w:tr>
        <w:tc>
          <w:tcPr>
            <w:tcW w:type="dxa" w:w="1234"/>
          </w:tcPr>
          <w:p>
            <w:r>
              <w:rPr>
                <w:rFonts w:ascii="Calibri" w:hAnsi="Calibri"/>
                <w:sz w:val="22"/>
              </w:rPr>
              <w:t>Adj. Operating EPS ($)</w:t>
            </w:r>
          </w:p>
        </w:tc>
        <w:tc>
          <w:tcPr>
            <w:tcW w:type="dxa" w:w="1234"/>
          </w:tcPr>
          <w:p>
            <w:r>
              <w:rPr>
                <w:rFonts w:ascii="Calibri" w:hAnsi="Calibri"/>
                <w:sz w:val="22"/>
              </w:rPr>
              <w:t>$1.04</w:t>
            </w:r>
          </w:p>
        </w:tc>
        <w:tc>
          <w:tcPr>
            <w:tcW w:type="dxa" w:w="1234"/>
          </w:tcPr>
          <w:p>
            <w:r>
              <w:rPr>
                <w:rFonts w:ascii="Calibri" w:hAnsi="Calibri"/>
                <w:sz w:val="22"/>
              </w:rPr>
              <w:t>$1.30</w:t>
            </w:r>
          </w:p>
        </w:tc>
        <w:tc>
          <w:tcPr>
            <w:tcW w:type="dxa" w:w="1234"/>
          </w:tcPr>
          <w:p>
            <w:r>
              <w:rPr>
                <w:rFonts w:ascii="Calibri" w:hAnsi="Calibri"/>
                <w:sz w:val="22"/>
              </w:rPr>
              <w:t>$1.31</w:t>
            </w:r>
          </w:p>
        </w:tc>
        <w:tc>
          <w:tcPr>
            <w:tcW w:type="dxa" w:w="1234"/>
          </w:tcPr>
          <w:p>
            <w:r>
              <w:rPr>
                <w:rFonts w:ascii="Calibri" w:hAnsi="Calibri"/>
                <w:sz w:val="22"/>
              </w:rPr>
              <w:t>+0.8%</w:t>
            </w:r>
          </w:p>
        </w:tc>
        <w:tc>
          <w:tcPr>
            <w:tcW w:type="dxa" w:w="1234"/>
          </w:tcPr>
          <w:p>
            <w:r>
              <w:rPr>
                <w:rFonts w:ascii="Calibri" w:hAnsi="Calibri"/>
                <w:sz w:val="22"/>
              </w:rPr>
              <w:t>$4.10–$4.30 FY</w:t>
            </w:r>
          </w:p>
        </w:tc>
        <w:tc>
          <w:tcPr>
            <w:tcW w:type="dxa" w:w="1234"/>
          </w:tcPr>
          <w:p>
            <w:r>
              <w:rPr>
                <w:rFonts w:ascii="Calibri" w:hAnsi="Calibri"/>
                <w:sz w:val="22"/>
              </w:rPr>
              <w:t>~+1% vs. FY midpoint ($4.20)</w:t>
            </w:r>
          </w:p>
        </w:tc>
      </w:tr>
      <w:tr>
        <w:tc>
          <w:tcPr>
            <w:tcW w:type="dxa" w:w="1234"/>
          </w:tcPr>
          <w:p>
            <w:r>
              <w:rPr>
                <w:rFonts w:ascii="Calibri" w:hAnsi="Calibri"/>
                <w:sz w:val="22"/>
              </w:rPr>
              <w:t>Operating Margin — Operating (%)</w:t>
            </w:r>
          </w:p>
        </w:tc>
        <w:tc>
          <w:tcPr>
            <w:tcW w:type="dxa" w:w="1234"/>
          </w:tcPr>
          <w:p>
            <w:r>
              <w:rPr>
                <w:rFonts w:ascii="Calibri" w:hAnsi="Calibri"/>
                <w:sz w:val="22"/>
              </w:rPr>
              <w:t>16.9%</w:t>
            </w:r>
          </w:p>
        </w:tc>
        <w:tc>
          <w:tcPr>
            <w:tcW w:type="dxa" w:w="1234"/>
          </w:tcPr>
          <w:p>
            <w:r>
              <w:rPr>
                <w:rFonts w:ascii="Calibri" w:hAnsi="Calibri"/>
                <w:sz w:val="22"/>
              </w:rPr>
              <w:t>20.2%</w:t>
            </w:r>
          </w:p>
        </w:tc>
        <w:tc>
          <w:tcPr>
            <w:tcW w:type="dxa" w:w="1234"/>
          </w:tcPr>
          <w:p>
            <w:r>
              <w:rPr>
                <w:rFonts w:ascii="Calibri" w:hAnsi="Calibri"/>
                <w:sz w:val="22"/>
              </w:rPr>
              <w:t>19.2%</w:t>
            </w:r>
          </w:p>
        </w:tc>
        <w:tc>
          <w:tcPr>
            <w:tcW w:type="dxa" w:w="1234"/>
          </w:tcPr>
          <w:p>
            <w:r>
              <w:rPr>
                <w:rFonts w:ascii="Calibri" w:hAnsi="Calibri"/>
                <w:b/>
                <w:color w:val="E5484D"/>
                <w:sz w:val="22"/>
              </w:rPr>
              <w:t>-100 bps YoY</w:t>
            </w:r>
          </w:p>
        </w:tc>
        <w:tc>
          <w:tcPr>
            <w:tcW w:type="dxa" w:w="1234"/>
          </w:tcPr>
          <w:p>
            <w:r>
              <w:rPr>
                <w:rFonts w:ascii="Calibri" w:hAnsi="Calibri"/>
                <w:sz w:val="22"/>
              </w:rPr>
              <w:t>~17% FY</w:t>
            </w:r>
          </w:p>
        </w:tc>
        <w:tc>
          <w:tcPr>
            <w:tcW w:type="dxa" w:w="1234"/>
          </w:tcPr>
          <w:p>
            <w:r>
              <w:rPr>
                <w:rFonts w:ascii="Calibri" w:hAnsi="Calibri"/>
                <w:sz w:val="22"/>
              </w:rPr>
              <w:t>Above FY guide (H1 expected flat, H2 expansion)</w:t>
            </w:r>
          </w:p>
        </w:tc>
      </w:tr>
      <w:tr>
        <w:tc>
          <w:tcPr>
            <w:tcW w:type="dxa" w:w="1234"/>
          </w:tcPr>
          <w:p>
            <w:r>
              <w:rPr>
                <w:rFonts w:ascii="Calibri" w:hAnsi="Calibri"/>
                <w:sz w:val="22"/>
              </w:rPr>
              <w:t>Plumbing Net Sales ($M)</w:t>
            </w:r>
          </w:p>
        </w:tc>
        <w:tc>
          <w:tcPr>
            <w:tcW w:type="dxa" w:w="1234"/>
          </w:tcPr>
          <w:p>
            <w:r>
              <w:rPr>
                <w:rFonts w:ascii="Calibri" w:hAnsi="Calibri"/>
                <w:sz w:val="22"/>
              </w:rPr>
              <w:t>$1,364</w:t>
            </w:r>
          </w:p>
        </w:tc>
        <w:tc>
          <w:tcPr>
            <w:tcW w:type="dxa" w:w="1234"/>
          </w:tcPr>
          <w:p>
            <w:r>
              <w:rPr>
                <w:rFonts w:ascii="Calibri" w:hAnsi="Calibri"/>
                <w:sz w:val="22"/>
              </w:rPr>
              <w:t>$1,372</w:t>
            </w:r>
          </w:p>
        </w:tc>
        <w:tc>
          <w:tcPr>
            <w:tcW w:type="dxa" w:w="1234"/>
          </w:tcPr>
          <w:p>
            <w:r>
              <w:rPr>
                <w:rFonts w:ascii="Calibri" w:hAnsi="Calibri"/>
                <w:sz w:val="22"/>
              </w:rPr>
              <w:t>$1,404</w:t>
            </w:r>
          </w:p>
        </w:tc>
        <w:tc>
          <w:tcPr>
            <w:tcW w:type="dxa" w:w="1234"/>
          </w:tcPr>
          <w:p>
            <w:r>
              <w:rPr>
                <w:rFonts w:ascii="Calibri" w:hAnsi="Calibri"/>
                <w:sz w:val="22"/>
              </w:rPr>
              <w:t>+2.3%</w:t>
            </w:r>
          </w:p>
        </w:tc>
        <w:tc>
          <w:tcPr>
            <w:tcW w:type="dxa" w:w="1234"/>
          </w:tcPr>
          <w:p>
            <w:r>
              <w:rPr>
                <w:rFonts w:ascii="Calibri" w:hAnsi="Calibri"/>
                <w:sz w:val="22"/>
              </w:rPr>
              <w:t>Up low single digits</w:t>
            </w:r>
          </w:p>
        </w:tc>
        <w:tc>
          <w:tcPr>
            <w:tcW w:type="dxa" w:w="1234"/>
          </w:tcPr>
          <w:p>
            <w:r>
              <w:rPr>
                <w:rFonts w:ascii="Calibri" w:hAnsi="Calibri"/>
                <w:sz w:val="22"/>
              </w:rPr>
              <w:t>In line with segment guide</w:t>
            </w:r>
          </w:p>
        </w:tc>
      </w:tr>
      <w:tr>
        <w:tc>
          <w:tcPr>
            <w:tcW w:type="dxa" w:w="1234"/>
          </w:tcPr>
          <w:p>
            <w:r>
              <w:rPr>
                <w:rFonts w:ascii="Calibri" w:hAnsi="Calibri"/>
                <w:sz w:val="22"/>
              </w:rPr>
              <w:t>Plumbing Operating Margin — Operating (%)</w:t>
            </w:r>
          </w:p>
        </w:tc>
        <w:tc>
          <w:tcPr>
            <w:tcW w:type="dxa" w:w="1234"/>
          </w:tcPr>
          <w:p>
            <w:r>
              <w:rPr>
                <w:rFonts w:ascii="Calibri" w:hAnsi="Calibri"/>
                <w:sz w:val="22"/>
              </w:rPr>
              <w:t>18.3%</w:t>
            </w:r>
          </w:p>
        </w:tc>
        <w:tc>
          <w:tcPr>
            <w:tcW w:type="dxa" w:w="1234"/>
          </w:tcPr>
          <w:p>
            <w:r>
              <w:rPr>
                <w:rFonts w:ascii="Calibri" w:hAnsi="Calibri"/>
                <w:sz w:val="22"/>
              </w:rPr>
              <w:t>20.8%</w:t>
            </w:r>
          </w:p>
        </w:tc>
        <w:tc>
          <w:tcPr>
            <w:tcW w:type="dxa" w:w="1234"/>
          </w:tcPr>
          <w:p>
            <w:r>
              <w:rPr>
                <w:rFonts w:ascii="Calibri" w:hAnsi="Calibri"/>
                <w:sz w:val="22"/>
              </w:rPr>
              <w:t>20.2%</w:t>
            </w:r>
          </w:p>
        </w:tc>
        <w:tc>
          <w:tcPr>
            <w:tcW w:type="dxa" w:w="1234"/>
          </w:tcPr>
          <w:p>
            <w:r>
              <w:rPr>
                <w:rFonts w:ascii="Calibri" w:hAnsi="Calibri"/>
                <w:b/>
                <w:color w:val="E5484D"/>
                <w:sz w:val="22"/>
              </w:rPr>
              <w:t>-60 bps YoY</w:t>
            </w:r>
          </w:p>
        </w:tc>
        <w:tc>
          <w:tcPr>
            <w:tcW w:type="dxa" w:w="1234"/>
          </w:tcPr>
          <w:p>
            <w:r>
              <w:rPr>
                <w:rFonts w:ascii="Calibri" w:hAnsi="Calibri"/>
                <w:sz w:val="22"/>
              </w:rPr>
              <w:t>~18% FY</w:t>
            </w:r>
          </w:p>
        </w:tc>
        <w:tc>
          <w:tcPr>
            <w:tcW w:type="dxa" w:w="1234"/>
          </w:tcPr>
          <w:p>
            <w:r>
              <w:rPr>
                <w:rFonts w:ascii="Calibri" w:hAnsi="Calibri"/>
                <w:sz w:val="22"/>
              </w:rPr>
              <w:t>Above FY guide; tough Q2 2025 comp</w:t>
            </w:r>
          </w:p>
        </w:tc>
      </w:tr>
      <w:tr>
        <w:tc>
          <w:tcPr>
            <w:tcW w:type="dxa" w:w="1234"/>
          </w:tcPr>
          <w:p>
            <w:r>
              <w:rPr>
                <w:rFonts w:ascii="Calibri" w:hAnsi="Calibri"/>
                <w:sz w:val="22"/>
              </w:rPr>
              <w:t>Decorative Architectural Net Sales ($M)</w:t>
            </w:r>
          </w:p>
        </w:tc>
        <w:tc>
          <w:tcPr>
            <w:tcW w:type="dxa" w:w="1234"/>
          </w:tcPr>
          <w:p>
            <w:r>
              <w:rPr>
                <w:rFonts w:ascii="Calibri" w:hAnsi="Calibri"/>
                <w:sz w:val="22"/>
              </w:rPr>
              <w:t>$554</w:t>
            </w:r>
          </w:p>
        </w:tc>
        <w:tc>
          <w:tcPr>
            <w:tcW w:type="dxa" w:w="1234"/>
          </w:tcPr>
          <w:p>
            <w:r>
              <w:rPr>
                <w:rFonts w:ascii="Calibri" w:hAnsi="Calibri"/>
                <w:sz w:val="22"/>
              </w:rPr>
              <w:t>$679</w:t>
            </w:r>
          </w:p>
        </w:tc>
        <w:tc>
          <w:tcPr>
            <w:tcW w:type="dxa" w:w="1234"/>
          </w:tcPr>
          <w:p>
            <w:r>
              <w:rPr>
                <w:rFonts w:ascii="Calibri" w:hAnsi="Calibri"/>
                <w:sz w:val="22"/>
              </w:rPr>
              <w:t>$673</w:t>
            </w:r>
          </w:p>
        </w:tc>
        <w:tc>
          <w:tcPr>
            <w:tcW w:type="dxa" w:w="1234"/>
          </w:tcPr>
          <w:p>
            <w:r>
              <w:rPr>
                <w:rFonts w:ascii="Calibri" w:hAnsi="Calibri"/>
                <w:sz w:val="22"/>
              </w:rPr>
              <w:t>-0.9%</w:t>
            </w:r>
          </w:p>
        </w:tc>
        <w:tc>
          <w:tcPr>
            <w:tcW w:type="dxa" w:w="1234"/>
          </w:tcPr>
          <w:p>
            <w:r>
              <w:rPr>
                <w:rFonts w:ascii="Calibri" w:hAnsi="Calibri"/>
                <w:sz w:val="22"/>
              </w:rPr>
              <w:t>Roughly flat FY</w:t>
            </w:r>
          </w:p>
        </w:tc>
        <w:tc>
          <w:tcPr>
            <w:tcW w:type="dxa" w:w="1234"/>
          </w:tcPr>
          <w:p>
            <w:r>
              <w:rPr>
                <w:rFonts w:ascii="Calibri" w:hAnsi="Calibri"/>
                <w:sz w:val="22"/>
              </w:rPr>
              <w:t>In line with segment guide</w:t>
            </w:r>
          </w:p>
        </w:tc>
      </w:tr>
      <w:tr>
        <w:tc>
          <w:tcPr>
            <w:tcW w:type="dxa" w:w="1234"/>
          </w:tcPr>
          <w:p>
            <w:r>
              <w:rPr>
                <w:rFonts w:ascii="Calibri" w:hAnsi="Calibri"/>
                <w:sz w:val="22"/>
              </w:rPr>
              <w:t>Decorative Architectural Operating Margin — Operating (%)</w:t>
            </w:r>
          </w:p>
        </w:tc>
        <w:tc>
          <w:tcPr>
            <w:tcW w:type="dxa" w:w="1234"/>
          </w:tcPr>
          <w:p>
            <w:r>
              <w:rPr>
                <w:rFonts w:ascii="Calibri" w:hAnsi="Calibri"/>
                <w:sz w:val="22"/>
              </w:rPr>
              <w:t>19.0%</w:t>
            </w:r>
          </w:p>
        </w:tc>
        <w:tc>
          <w:tcPr>
            <w:tcW w:type="dxa" w:w="1234"/>
          </w:tcPr>
          <w:p>
            <w:r>
              <w:rPr>
                <w:rFonts w:ascii="Calibri" w:hAnsi="Calibri"/>
                <w:sz w:val="22"/>
              </w:rPr>
              <w:t>21.6%</w:t>
            </w:r>
          </w:p>
        </w:tc>
        <w:tc>
          <w:tcPr>
            <w:tcW w:type="dxa" w:w="1234"/>
          </w:tcPr>
          <w:p>
            <w:r>
              <w:rPr>
                <w:rFonts w:ascii="Calibri" w:hAnsi="Calibri"/>
                <w:sz w:val="22"/>
              </w:rPr>
              <w:t>20.9%</w:t>
            </w:r>
          </w:p>
        </w:tc>
        <w:tc>
          <w:tcPr>
            <w:tcW w:type="dxa" w:w="1234"/>
          </w:tcPr>
          <w:p>
            <w:r>
              <w:rPr>
                <w:rFonts w:ascii="Calibri" w:hAnsi="Calibri"/>
                <w:b/>
                <w:color w:val="E5484D"/>
                <w:sz w:val="22"/>
              </w:rPr>
              <w:t>-70 bps YoY</w:t>
            </w:r>
          </w:p>
        </w:tc>
        <w:tc>
          <w:tcPr>
            <w:tcW w:type="dxa" w:w="1234"/>
          </w:tcPr>
          <w:p>
            <w:r>
              <w:rPr>
                <w:rFonts w:ascii="Calibri" w:hAnsi="Calibri"/>
                <w:sz w:val="22"/>
              </w:rPr>
              <w:t>~19% FY</w:t>
            </w:r>
          </w:p>
        </w:tc>
        <w:tc>
          <w:tcPr>
            <w:tcW w:type="dxa" w:w="1234"/>
          </w:tcPr>
          <w:p>
            <w:r>
              <w:rPr>
                <w:rFonts w:ascii="Calibri" w:hAnsi="Calibri"/>
                <w:sz w:val="22"/>
              </w:rPr>
              <w:t>Above FY guide; oil/resin cost risk</w:t>
            </w:r>
          </w:p>
        </w:tc>
      </w:tr>
    </w:tbl>
    <w:p>
      <w:r>
        <w:rPr>
          <w:rFonts w:ascii="Calibri" w:hAnsi="Calibri"/>
          <w:i/>
          <w:color w:val="525866"/>
          <w:sz w:val="22"/>
        </w:rPr>
        <w:t>Source: Visible Alpha Consensus and Actuals Data. All consensus figures as of July 28, 2026.</w:t>
      </w:r>
    </w:p>
    <w:p>
      <w:pPr>
        <w:pStyle w:val="Heading3"/>
      </w:pPr>
      <w:r>
        <w:rPr>
          <w:rFonts w:ascii="Calibri" w:hAnsi="Calibri"/>
          <w:b/>
          <w:color w:val="3B4259"/>
          <w:sz w:val="24"/>
        </w:rPr>
        <w:t>Table 2 — Beat/Miss History (Last 8 Quarters)</w:t>
      </w:r>
    </w:p>
    <w:p>
      <w:r>
        <w:rPr>
          <w:rFonts w:ascii="Calibri" w:hAnsi="Calibri"/>
          <w:b/>
          <w:color w:val="525866"/>
          <w:sz w:val="22"/>
        </w:rPr>
        <w:t>Top KPI 1: Net Sales ($M) | Top KPI 2: Adj. Operating EPS ($)</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Quarter</w:t>
            </w:r>
          </w:p>
        </w:tc>
        <w:tc>
          <w:tcPr>
            <w:tcW w:type="dxa" w:w="1440"/>
          </w:tcPr>
          <w:p>
            <w:r>
              <w:rPr>
                <w:rFonts w:ascii="Calibri" w:hAnsi="Calibri"/>
                <w:b/>
                <w:sz w:val="22"/>
              </w:rPr>
              <w:t>KPI</w:t>
            </w:r>
          </w:p>
        </w:tc>
        <w:tc>
          <w:tcPr>
            <w:tcW w:type="dxa" w:w="1440"/>
          </w:tcPr>
          <w:p>
            <w:r>
              <w:rPr>
                <w:rFonts w:ascii="Calibri" w:hAnsi="Calibri"/>
                <w:b/>
                <w:sz w:val="22"/>
              </w:rPr>
              <w:t>Reported</w:t>
            </w:r>
          </w:p>
        </w:tc>
        <w:tc>
          <w:tcPr>
            <w:tcW w:type="dxa" w:w="1440"/>
          </w:tcPr>
          <w:p>
            <w:r>
              <w:rPr>
                <w:rFonts w:ascii="Calibri" w:hAnsi="Calibri"/>
                <w:b/>
                <w:sz w:val="22"/>
              </w:rPr>
              <w:t>Consensus</w:t>
            </w:r>
          </w:p>
        </w:tc>
        <w:tc>
          <w:tcPr>
            <w:tcW w:type="dxa" w:w="1440"/>
          </w:tcPr>
          <w:p>
            <w:r>
              <w:rPr>
                <w:rFonts w:ascii="Calibri" w:hAnsi="Calibri"/>
                <w:b/>
                <w:sz w:val="22"/>
              </w:rPr>
              <w:t>Surprise %</w:t>
            </w:r>
          </w:p>
        </w:tc>
        <w:tc>
          <w:tcPr>
            <w:tcW w:type="dxa" w:w="1440"/>
          </w:tcPr>
          <w:p>
            <w:r>
              <w:rPr>
                <w:rFonts w:ascii="Calibri" w:hAnsi="Calibri"/>
                <w:b/>
                <w:sz w:val="22"/>
              </w:rPr>
              <w:t>Result</w:t>
            </w:r>
          </w:p>
        </w:tc>
      </w:tr>
      <w:tr>
        <w:tc>
          <w:tcPr>
            <w:tcW w:type="dxa" w:w="1440"/>
          </w:tcPr>
          <w:p>
            <w:r>
              <w:rPr>
                <w:rFonts w:ascii="Calibri" w:hAnsi="Calibri"/>
                <w:sz w:val="22"/>
              </w:rPr>
              <w:t>Q1 2026</w:t>
            </w:r>
          </w:p>
        </w:tc>
        <w:tc>
          <w:tcPr>
            <w:tcW w:type="dxa" w:w="1440"/>
          </w:tcPr>
          <w:p>
            <w:r>
              <w:rPr>
                <w:rFonts w:ascii="Calibri" w:hAnsi="Calibri"/>
                <w:sz w:val="22"/>
              </w:rPr>
              <w:t>Net Sales</w:t>
            </w:r>
          </w:p>
        </w:tc>
        <w:tc>
          <w:tcPr>
            <w:tcW w:type="dxa" w:w="1440"/>
          </w:tcPr>
          <w:p>
            <w:r>
              <w:rPr>
                <w:rFonts w:ascii="Calibri" w:hAnsi="Calibri"/>
                <w:sz w:val="22"/>
              </w:rPr>
              <w:t>$1,918M</w:t>
            </w:r>
          </w:p>
        </w:tc>
        <w:tc>
          <w:tcPr>
            <w:tcW w:type="dxa" w:w="1440"/>
          </w:tcPr>
          <w:p>
            <w:r>
              <w:rPr>
                <w:rFonts w:ascii="Calibri" w:hAnsi="Calibri"/>
                <w:sz w:val="22"/>
              </w:rPr>
              <w:t>$1,833M</w:t>
            </w:r>
          </w:p>
        </w:tc>
        <w:tc>
          <w:tcPr>
            <w:tcW w:type="dxa" w:w="1440"/>
          </w:tcPr>
          <w:p>
            <w:r>
              <w:rPr>
                <w:rFonts w:ascii="Calibri" w:hAnsi="Calibri"/>
                <w:b/>
                <w:color w:val="30A46C"/>
                <w:sz w:val="22"/>
              </w:rPr>
              <w:t>+4.6%</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Op. EPS</w:t>
            </w:r>
          </w:p>
        </w:tc>
        <w:tc>
          <w:tcPr>
            <w:tcW w:type="dxa" w:w="1440"/>
          </w:tcPr>
          <w:p>
            <w:r>
              <w:rPr>
                <w:rFonts w:ascii="Calibri" w:hAnsi="Calibri"/>
                <w:sz w:val="22"/>
              </w:rPr>
              <w:t>$1.04</w:t>
            </w:r>
          </w:p>
        </w:tc>
        <w:tc>
          <w:tcPr>
            <w:tcW w:type="dxa" w:w="1440"/>
          </w:tcPr>
          <w:p>
            <w:r>
              <w:rPr>
                <w:rFonts w:ascii="Calibri" w:hAnsi="Calibri"/>
                <w:sz w:val="22"/>
              </w:rPr>
              <w:t>$0.88</w:t>
            </w:r>
          </w:p>
        </w:tc>
        <w:tc>
          <w:tcPr>
            <w:tcW w:type="dxa" w:w="1440"/>
          </w:tcPr>
          <w:p>
            <w:r>
              <w:rPr>
                <w:rFonts w:ascii="Calibri" w:hAnsi="Calibri"/>
                <w:b/>
                <w:color w:val="30A46C"/>
                <w:sz w:val="22"/>
              </w:rPr>
              <w:t>+18.2%</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Net Sales</w:t>
            </w:r>
          </w:p>
        </w:tc>
        <w:tc>
          <w:tcPr>
            <w:tcW w:type="dxa" w:w="1440"/>
          </w:tcPr>
          <w:p>
            <w:r>
              <w:rPr>
                <w:rFonts w:ascii="Calibri" w:hAnsi="Calibri"/>
                <w:sz w:val="22"/>
              </w:rPr>
              <w:t>$1,793M</w:t>
            </w:r>
          </w:p>
        </w:tc>
        <w:tc>
          <w:tcPr>
            <w:tcW w:type="dxa" w:w="1440"/>
          </w:tcPr>
          <w:p>
            <w:r>
              <w:rPr>
                <w:rFonts w:ascii="Calibri" w:hAnsi="Calibri"/>
                <w:sz w:val="22"/>
              </w:rPr>
              <w:t>$1,820M</w:t>
            </w:r>
          </w:p>
        </w:tc>
        <w:tc>
          <w:tcPr>
            <w:tcW w:type="dxa" w:w="1440"/>
          </w:tcPr>
          <w:p>
            <w:r>
              <w:rPr>
                <w:rFonts w:ascii="Calibri" w:hAnsi="Calibri"/>
                <w:b/>
                <w:color w:val="E5484D"/>
                <w:sz w:val="22"/>
              </w:rPr>
              <w:t>-1.5%</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Adj. Op. EPS</w:t>
            </w:r>
          </w:p>
        </w:tc>
        <w:tc>
          <w:tcPr>
            <w:tcW w:type="dxa" w:w="1440"/>
          </w:tcPr>
          <w:p>
            <w:r>
              <w:rPr>
                <w:rFonts w:ascii="Calibri" w:hAnsi="Calibri"/>
                <w:sz w:val="22"/>
              </w:rPr>
              <w:t>$0.82</w:t>
            </w:r>
          </w:p>
        </w:tc>
        <w:tc>
          <w:tcPr>
            <w:tcW w:type="dxa" w:w="1440"/>
          </w:tcPr>
          <w:p>
            <w:r>
              <w:rPr>
                <w:rFonts w:ascii="Calibri" w:hAnsi="Calibri"/>
                <w:sz w:val="22"/>
              </w:rPr>
              <w:t>$0.79</w:t>
            </w:r>
          </w:p>
        </w:tc>
        <w:tc>
          <w:tcPr>
            <w:tcW w:type="dxa" w:w="1440"/>
          </w:tcPr>
          <w:p>
            <w:r>
              <w:rPr>
                <w:rFonts w:ascii="Calibri" w:hAnsi="Calibri"/>
                <w:b/>
                <w:color w:val="30A46C"/>
                <w:sz w:val="22"/>
              </w:rPr>
              <w:t>+3.8%</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Net Sales</w:t>
            </w:r>
          </w:p>
        </w:tc>
        <w:tc>
          <w:tcPr>
            <w:tcW w:type="dxa" w:w="1440"/>
          </w:tcPr>
          <w:p>
            <w:r>
              <w:rPr>
                <w:rFonts w:ascii="Calibri" w:hAnsi="Calibri"/>
                <w:sz w:val="22"/>
              </w:rPr>
              <w:t>$1,917M</w:t>
            </w:r>
          </w:p>
        </w:tc>
        <w:tc>
          <w:tcPr>
            <w:tcW w:type="dxa" w:w="1440"/>
          </w:tcPr>
          <w:p>
            <w:r>
              <w:rPr>
                <w:rFonts w:ascii="Calibri" w:hAnsi="Calibri"/>
                <w:sz w:val="22"/>
              </w:rPr>
              <w:t>$1,946M</w:t>
            </w:r>
          </w:p>
        </w:tc>
        <w:tc>
          <w:tcPr>
            <w:tcW w:type="dxa" w:w="1440"/>
          </w:tcPr>
          <w:p>
            <w:r>
              <w:rPr>
                <w:rFonts w:ascii="Calibri" w:hAnsi="Calibri"/>
                <w:b/>
                <w:color w:val="E5484D"/>
                <w:sz w:val="22"/>
              </w:rPr>
              <w:t>-1.5%</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Adj. Op. EPS</w:t>
            </w:r>
          </w:p>
        </w:tc>
        <w:tc>
          <w:tcPr>
            <w:tcW w:type="dxa" w:w="1440"/>
          </w:tcPr>
          <w:p>
            <w:r>
              <w:rPr>
                <w:rFonts w:ascii="Calibri" w:hAnsi="Calibri"/>
                <w:sz w:val="22"/>
              </w:rPr>
              <w:t>$0.97</w:t>
            </w:r>
          </w:p>
        </w:tc>
        <w:tc>
          <w:tcPr>
            <w:tcW w:type="dxa" w:w="1440"/>
          </w:tcPr>
          <w:p>
            <w:r>
              <w:rPr>
                <w:rFonts w:ascii="Calibri" w:hAnsi="Calibri"/>
                <w:sz w:val="22"/>
              </w:rPr>
              <w:t>$1.03</w:t>
            </w:r>
          </w:p>
        </w:tc>
        <w:tc>
          <w:tcPr>
            <w:tcW w:type="dxa" w:w="1440"/>
          </w:tcPr>
          <w:p>
            <w:r>
              <w:rPr>
                <w:rFonts w:ascii="Calibri" w:hAnsi="Calibri"/>
                <w:b/>
                <w:color w:val="E5484D"/>
                <w:sz w:val="22"/>
              </w:rPr>
              <w:t>-5.8%</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Net Sales</w:t>
            </w:r>
          </w:p>
        </w:tc>
        <w:tc>
          <w:tcPr>
            <w:tcW w:type="dxa" w:w="1440"/>
          </w:tcPr>
          <w:p>
            <w:r>
              <w:rPr>
                <w:rFonts w:ascii="Calibri" w:hAnsi="Calibri"/>
                <w:sz w:val="22"/>
              </w:rPr>
              <w:t>$2,051M</w:t>
            </w:r>
          </w:p>
        </w:tc>
        <w:tc>
          <w:tcPr>
            <w:tcW w:type="dxa" w:w="1440"/>
          </w:tcPr>
          <w:p>
            <w:r>
              <w:rPr>
                <w:rFonts w:ascii="Calibri" w:hAnsi="Calibri"/>
                <w:sz w:val="22"/>
              </w:rPr>
              <w:t>$2,001M</w:t>
            </w:r>
          </w:p>
        </w:tc>
        <w:tc>
          <w:tcPr>
            <w:tcW w:type="dxa" w:w="1440"/>
          </w:tcPr>
          <w:p>
            <w:r>
              <w:rPr>
                <w:rFonts w:ascii="Calibri" w:hAnsi="Calibri"/>
                <w:b/>
                <w:color w:val="30A46C"/>
                <w:sz w:val="22"/>
              </w:rPr>
              <w:t>+2.5%</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Op. EPS</w:t>
            </w:r>
          </w:p>
        </w:tc>
        <w:tc>
          <w:tcPr>
            <w:tcW w:type="dxa" w:w="1440"/>
          </w:tcPr>
          <w:p>
            <w:r>
              <w:rPr>
                <w:rFonts w:ascii="Calibri" w:hAnsi="Calibri"/>
                <w:sz w:val="22"/>
              </w:rPr>
              <w:t>$1.30</w:t>
            </w:r>
          </w:p>
        </w:tc>
        <w:tc>
          <w:tcPr>
            <w:tcW w:type="dxa" w:w="1440"/>
          </w:tcPr>
          <w:p>
            <w:r>
              <w:rPr>
                <w:rFonts w:ascii="Calibri" w:hAnsi="Calibri"/>
                <w:sz w:val="22"/>
              </w:rPr>
              <w:t>$1.09</w:t>
            </w:r>
          </w:p>
        </w:tc>
        <w:tc>
          <w:tcPr>
            <w:tcW w:type="dxa" w:w="1440"/>
          </w:tcPr>
          <w:p>
            <w:r>
              <w:rPr>
                <w:rFonts w:ascii="Calibri" w:hAnsi="Calibri"/>
                <w:b/>
                <w:color w:val="30A46C"/>
                <w:sz w:val="22"/>
              </w:rPr>
              <w:t>+19.3%</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Net Sales</w:t>
            </w:r>
          </w:p>
        </w:tc>
        <w:tc>
          <w:tcPr>
            <w:tcW w:type="dxa" w:w="1440"/>
          </w:tcPr>
          <w:p>
            <w:r>
              <w:rPr>
                <w:rFonts w:ascii="Calibri" w:hAnsi="Calibri"/>
                <w:sz w:val="22"/>
              </w:rPr>
              <w:t>$1,801M</w:t>
            </w:r>
          </w:p>
        </w:tc>
        <w:tc>
          <w:tcPr>
            <w:tcW w:type="dxa" w:w="1440"/>
          </w:tcPr>
          <w:p>
            <w:r>
              <w:rPr>
                <w:rFonts w:ascii="Calibri" w:hAnsi="Calibri"/>
                <w:sz w:val="22"/>
              </w:rPr>
              <w:t>$1,838M</w:t>
            </w:r>
          </w:p>
        </w:tc>
        <w:tc>
          <w:tcPr>
            <w:tcW w:type="dxa" w:w="1440"/>
          </w:tcPr>
          <w:p>
            <w:r>
              <w:rPr>
                <w:rFonts w:ascii="Calibri" w:hAnsi="Calibri"/>
                <w:b/>
                <w:color w:val="E5484D"/>
                <w:sz w:val="22"/>
              </w:rPr>
              <w:t>-2.0%</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Adj. Op. EPS</w:t>
            </w:r>
          </w:p>
        </w:tc>
        <w:tc>
          <w:tcPr>
            <w:tcW w:type="dxa" w:w="1440"/>
          </w:tcPr>
          <w:p>
            <w:r>
              <w:rPr>
                <w:rFonts w:ascii="Calibri" w:hAnsi="Calibri"/>
                <w:sz w:val="22"/>
              </w:rPr>
              <w:t>$0.87</w:t>
            </w:r>
          </w:p>
        </w:tc>
        <w:tc>
          <w:tcPr>
            <w:tcW w:type="dxa" w:w="1440"/>
          </w:tcPr>
          <w:p>
            <w:r>
              <w:rPr>
                <w:rFonts w:ascii="Calibri" w:hAnsi="Calibri"/>
                <w:sz w:val="22"/>
              </w:rPr>
              <w:t>$0.92</w:t>
            </w:r>
          </w:p>
        </w:tc>
        <w:tc>
          <w:tcPr>
            <w:tcW w:type="dxa" w:w="1440"/>
          </w:tcPr>
          <w:p>
            <w:r>
              <w:rPr>
                <w:rFonts w:ascii="Calibri" w:hAnsi="Calibri"/>
                <w:b/>
                <w:color w:val="E5484D"/>
                <w:sz w:val="22"/>
              </w:rPr>
              <w:t>-5.4%</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Net Sales</w:t>
            </w:r>
          </w:p>
        </w:tc>
        <w:tc>
          <w:tcPr>
            <w:tcW w:type="dxa" w:w="1440"/>
          </w:tcPr>
          <w:p>
            <w:r>
              <w:rPr>
                <w:rFonts w:ascii="Calibri" w:hAnsi="Calibri"/>
                <w:sz w:val="22"/>
              </w:rPr>
              <w:t>$1,828M</w:t>
            </w:r>
          </w:p>
        </w:tc>
        <w:tc>
          <w:tcPr>
            <w:tcW w:type="dxa" w:w="1440"/>
          </w:tcPr>
          <w:p>
            <w:r>
              <w:rPr>
                <w:rFonts w:ascii="Calibri" w:hAnsi="Calibri"/>
                <w:sz w:val="22"/>
              </w:rPr>
              <w:t>$1,837M</w:t>
            </w:r>
          </w:p>
        </w:tc>
        <w:tc>
          <w:tcPr>
            <w:tcW w:type="dxa" w:w="1440"/>
          </w:tcPr>
          <w:p>
            <w:r>
              <w:rPr>
                <w:rFonts w:ascii="Calibri" w:hAnsi="Calibri"/>
                <w:sz w:val="22"/>
              </w:rPr>
              <w:t>-0.5%</w:t>
            </w:r>
          </w:p>
        </w:tc>
        <w:tc>
          <w:tcPr>
            <w:tcW w:type="dxa" w:w="1440"/>
          </w:tcPr>
          <w:p>
            <w:r>
              <w:rPr>
                <w:rFonts w:ascii="Calibri" w:hAnsi="Calibri"/>
                <w:sz w:val="22"/>
              </w:rPr>
              <w:t>IN LINE</w:t>
            </w:r>
          </w:p>
        </w:tc>
      </w:tr>
      <w:tr>
        <w:tc>
          <w:tcPr>
            <w:tcW w:type="dxa" w:w="1440"/>
          </w:tcPr>
          <w:p>
            <w:r>
              <w:rPr>
                <w:rFonts w:ascii="Calibri" w:hAnsi="Calibri"/>
                <w:sz w:val="22"/>
              </w:rPr>
              <w:t>Q4 2024</w:t>
            </w:r>
          </w:p>
        </w:tc>
        <w:tc>
          <w:tcPr>
            <w:tcW w:type="dxa" w:w="1440"/>
          </w:tcPr>
          <w:p>
            <w:r>
              <w:rPr>
                <w:rFonts w:ascii="Calibri" w:hAnsi="Calibri"/>
                <w:sz w:val="22"/>
              </w:rPr>
              <w:t>Adj. Op. EPS</w:t>
            </w:r>
          </w:p>
        </w:tc>
        <w:tc>
          <w:tcPr>
            <w:tcW w:type="dxa" w:w="1440"/>
          </w:tcPr>
          <w:p>
            <w:r>
              <w:rPr>
                <w:rFonts w:ascii="Calibri" w:hAnsi="Calibri"/>
                <w:sz w:val="22"/>
              </w:rPr>
              <w:t>$0.89</w:t>
            </w:r>
          </w:p>
        </w:tc>
        <w:tc>
          <w:tcPr>
            <w:tcW w:type="dxa" w:w="1440"/>
          </w:tcPr>
          <w:p>
            <w:r>
              <w:rPr>
                <w:rFonts w:ascii="Calibri" w:hAnsi="Calibri"/>
                <w:sz w:val="22"/>
              </w:rPr>
              <w:t>$0.87</w:t>
            </w:r>
          </w:p>
        </w:tc>
        <w:tc>
          <w:tcPr>
            <w:tcW w:type="dxa" w:w="1440"/>
          </w:tcPr>
          <w:p>
            <w:r>
              <w:rPr>
                <w:rFonts w:ascii="Calibri" w:hAnsi="Calibri"/>
                <w:b/>
                <w:color w:val="30A46C"/>
                <w:sz w:val="22"/>
              </w:rPr>
              <w:t>+2.3%</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Net Sales</w:t>
            </w:r>
          </w:p>
        </w:tc>
        <w:tc>
          <w:tcPr>
            <w:tcW w:type="dxa" w:w="1440"/>
          </w:tcPr>
          <w:p>
            <w:r>
              <w:rPr>
                <w:rFonts w:ascii="Calibri" w:hAnsi="Calibri"/>
                <w:sz w:val="22"/>
              </w:rPr>
              <w:t>$1,983M</w:t>
            </w:r>
          </w:p>
        </w:tc>
        <w:tc>
          <w:tcPr>
            <w:tcW w:type="dxa" w:w="1440"/>
          </w:tcPr>
          <w:p>
            <w:r>
              <w:rPr>
                <w:rFonts w:ascii="Calibri" w:hAnsi="Calibri"/>
                <w:sz w:val="22"/>
              </w:rPr>
              <w:t>$1,995M</w:t>
            </w:r>
          </w:p>
        </w:tc>
        <w:tc>
          <w:tcPr>
            <w:tcW w:type="dxa" w:w="1440"/>
          </w:tcPr>
          <w:p>
            <w:r>
              <w:rPr>
                <w:rFonts w:ascii="Calibri" w:hAnsi="Calibri"/>
                <w:sz w:val="22"/>
              </w:rPr>
              <w:t>-0.6%</w:t>
            </w:r>
          </w:p>
        </w:tc>
        <w:tc>
          <w:tcPr>
            <w:tcW w:type="dxa" w:w="1440"/>
          </w:tcPr>
          <w:p>
            <w:r>
              <w:rPr>
                <w:rFonts w:ascii="Calibri" w:hAnsi="Calibri"/>
                <w:sz w:val="22"/>
              </w:rPr>
              <w:t>IN LINE</w:t>
            </w:r>
          </w:p>
        </w:tc>
      </w:tr>
      <w:tr>
        <w:tc>
          <w:tcPr>
            <w:tcW w:type="dxa" w:w="1440"/>
          </w:tcPr>
          <w:p>
            <w:r>
              <w:rPr>
                <w:rFonts w:ascii="Calibri" w:hAnsi="Calibri"/>
                <w:sz w:val="22"/>
              </w:rPr>
              <w:t>Q3 2024</w:t>
            </w:r>
          </w:p>
        </w:tc>
        <w:tc>
          <w:tcPr>
            <w:tcW w:type="dxa" w:w="1440"/>
          </w:tcPr>
          <w:p>
            <w:r>
              <w:rPr>
                <w:rFonts w:ascii="Calibri" w:hAnsi="Calibri"/>
                <w:sz w:val="22"/>
              </w:rPr>
              <w:t>Adj. Op. EPS</w:t>
            </w:r>
          </w:p>
        </w:tc>
        <w:tc>
          <w:tcPr>
            <w:tcW w:type="dxa" w:w="1440"/>
          </w:tcPr>
          <w:p>
            <w:r>
              <w:rPr>
                <w:rFonts w:ascii="Calibri" w:hAnsi="Calibri"/>
                <w:sz w:val="22"/>
              </w:rPr>
              <w:t>$1.08</w:t>
            </w:r>
          </w:p>
        </w:tc>
        <w:tc>
          <w:tcPr>
            <w:tcW w:type="dxa" w:w="1440"/>
          </w:tcPr>
          <w:p>
            <w:r>
              <w:rPr>
                <w:rFonts w:ascii="Calibri" w:hAnsi="Calibri"/>
                <w:sz w:val="22"/>
              </w:rPr>
              <w:t>$1.09</w:t>
            </w:r>
          </w:p>
        </w:tc>
        <w:tc>
          <w:tcPr>
            <w:tcW w:type="dxa" w:w="1440"/>
          </w:tcPr>
          <w:p>
            <w:r>
              <w:rPr>
                <w:rFonts w:ascii="Calibri" w:hAnsi="Calibri"/>
                <w:sz w:val="22"/>
              </w:rPr>
              <w:t>-0.9%</w:t>
            </w:r>
          </w:p>
        </w:tc>
        <w:tc>
          <w:tcPr>
            <w:tcW w:type="dxa" w:w="1440"/>
          </w:tcPr>
          <w:p>
            <w:r>
              <w:rPr>
                <w:rFonts w:ascii="Calibri" w:hAnsi="Calibri"/>
                <w:sz w:val="22"/>
              </w:rPr>
              <w:t>IN LINE</w:t>
            </w:r>
          </w:p>
        </w:tc>
      </w:tr>
      <w:tr>
        <w:tc>
          <w:tcPr>
            <w:tcW w:type="dxa" w:w="1440"/>
          </w:tcPr>
          <w:p>
            <w:r>
              <w:rPr>
                <w:rFonts w:ascii="Calibri" w:hAnsi="Calibri"/>
                <w:sz w:val="22"/>
              </w:rPr>
              <w:t>Q2 2024</w:t>
            </w:r>
          </w:p>
        </w:tc>
        <w:tc>
          <w:tcPr>
            <w:tcW w:type="dxa" w:w="1440"/>
          </w:tcPr>
          <w:p>
            <w:r>
              <w:rPr>
                <w:rFonts w:ascii="Calibri" w:hAnsi="Calibri"/>
                <w:sz w:val="22"/>
              </w:rPr>
              <w:t>Net Sales</w:t>
            </w:r>
          </w:p>
        </w:tc>
        <w:tc>
          <w:tcPr>
            <w:tcW w:type="dxa" w:w="1440"/>
          </w:tcPr>
          <w:p>
            <w:r>
              <w:rPr>
                <w:rFonts w:ascii="Calibri" w:hAnsi="Calibri"/>
                <w:sz w:val="22"/>
              </w:rPr>
              <w:t>$2,091M</w:t>
            </w:r>
          </w:p>
        </w:tc>
        <w:tc>
          <w:tcPr>
            <w:tcW w:type="dxa" w:w="1440"/>
          </w:tcPr>
          <w:p>
            <w:r>
              <w:rPr>
                <w:rFonts w:ascii="Calibri" w:hAnsi="Calibri"/>
                <w:sz w:val="22"/>
              </w:rPr>
              <w:t>$2,104M</w:t>
            </w:r>
          </w:p>
        </w:tc>
        <w:tc>
          <w:tcPr>
            <w:tcW w:type="dxa" w:w="1440"/>
          </w:tcPr>
          <w:p>
            <w:r>
              <w:rPr>
                <w:rFonts w:ascii="Calibri" w:hAnsi="Calibri"/>
                <w:sz w:val="22"/>
              </w:rPr>
              <w:t>-0.6%</w:t>
            </w:r>
          </w:p>
        </w:tc>
        <w:tc>
          <w:tcPr>
            <w:tcW w:type="dxa" w:w="1440"/>
          </w:tcPr>
          <w:p>
            <w:r>
              <w:rPr>
                <w:rFonts w:ascii="Calibri" w:hAnsi="Calibri"/>
                <w:sz w:val="22"/>
              </w:rPr>
              <w:t>IN LINE</w:t>
            </w:r>
          </w:p>
        </w:tc>
      </w:tr>
      <w:tr>
        <w:tc>
          <w:tcPr>
            <w:tcW w:type="dxa" w:w="1440"/>
          </w:tcPr>
          <w:p>
            <w:r>
              <w:rPr>
                <w:rFonts w:ascii="Calibri" w:hAnsi="Calibri"/>
                <w:sz w:val="22"/>
              </w:rPr>
              <w:t>Q2 2024</w:t>
            </w:r>
          </w:p>
        </w:tc>
        <w:tc>
          <w:tcPr>
            <w:tcW w:type="dxa" w:w="1440"/>
          </w:tcPr>
          <w:p>
            <w:r>
              <w:rPr>
                <w:rFonts w:ascii="Calibri" w:hAnsi="Calibri"/>
                <w:sz w:val="22"/>
              </w:rPr>
              <w:t>Adj. Op. EPS</w:t>
            </w:r>
          </w:p>
        </w:tc>
        <w:tc>
          <w:tcPr>
            <w:tcW w:type="dxa" w:w="1440"/>
          </w:tcPr>
          <w:p>
            <w:r>
              <w:rPr>
                <w:rFonts w:ascii="Calibri" w:hAnsi="Calibri"/>
                <w:sz w:val="22"/>
              </w:rPr>
              <w:t>$1.20</w:t>
            </w:r>
          </w:p>
        </w:tc>
        <w:tc>
          <w:tcPr>
            <w:tcW w:type="dxa" w:w="1440"/>
          </w:tcPr>
          <w:p>
            <w:r>
              <w:rPr>
                <w:rFonts w:ascii="Calibri" w:hAnsi="Calibri"/>
                <w:sz w:val="22"/>
              </w:rPr>
              <w:t>$1.18</w:t>
            </w:r>
          </w:p>
        </w:tc>
        <w:tc>
          <w:tcPr>
            <w:tcW w:type="dxa" w:w="1440"/>
          </w:tcPr>
          <w:p>
            <w:r>
              <w:rPr>
                <w:rFonts w:ascii="Calibri" w:hAnsi="Calibri"/>
                <w:b/>
                <w:color w:val="30A46C"/>
                <w:sz w:val="22"/>
              </w:rPr>
              <w:t>+1.7%</w:t>
            </w:r>
          </w:p>
        </w:tc>
        <w:tc>
          <w:tcPr>
            <w:tcW w:type="dxa" w:w="1440"/>
          </w:tcPr>
          <w:p>
            <w:r>
              <w:rPr>
                <w:rFonts w:ascii="Calibri" w:hAnsi="Calibri"/>
                <w:b/>
                <w:color w:val="30A46C"/>
                <w:sz w:val="22"/>
              </w:rPr>
              <w:t>BEAT</w:t>
            </w:r>
          </w:p>
        </w:tc>
      </w:tr>
    </w:tbl>
    <w:p>
      <w:r>
        <w:rPr>
          <w:rFonts w:ascii="Calibri" w:hAnsi="Calibri"/>
          <w:i/>
          <w:color w:val="525866"/>
          <w:sz w:val="22"/>
        </w:rPr>
        <w:t>Source: Visible Alpha Consensus and Actuals Data.</w:t>
      </w:r>
    </w:p>
    <w:p>
      <w:r>
        <w:rPr>
          <w:rFonts w:ascii="Calibri" w:hAnsi="Calibri"/>
          <w:b/>
          <w:color w:val="525866"/>
          <w:sz w:val="22"/>
        </w:rPr>
        <w:t xml:space="preserve">Pattern: </w:t>
      </w:r>
      <w:r>
        <w:rPr>
          <w:rFonts w:ascii="Calibri" w:hAnsi="Calibri"/>
          <w:color w:val="525866"/>
          <w:sz w:val="22"/>
        </w:rPr>
        <w:t>MAS has a mixed beat/miss record over the last 8 quarters — EPS beats are more consistent than revenue beats, and the two largest EPS beats (Q1 2026 and Q2 2025) both came in quarters where management had set a cautious tone heading in; revenue has been more volatile, with misses in Q1 and Q3 2025 when macro headwinds were most acute.</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stable since the Q1 2026 print — FY EPS range and segment margin targets are unchanged — but the Investor Day on May 13 added long-term targets (18%+ operating margin by 2028, ~10% EPS CAGR) that were incrementally positive. </w:t>
      </w:r>
      <w:r>
        <w:rPr>
          <w:rFonts w:ascii="Calibri" w:hAnsi="Calibri"/>
          <w:b/>
          <w:color w:val="525866"/>
          <w:sz w:val="22"/>
        </w:rPr>
        <w:t>Tone has shifted modestly more cautious on commodity costs (oil/resins for Dec Arc, copper/zinc for Plumbing) while remaining confident on pricing execution and volume trajectory.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Metric</w:t>
            </w:r>
          </w:p>
        </w:tc>
        <w:tc>
          <w:tcPr>
            <w:tcW w:type="dxa" w:w="1728"/>
          </w:tcPr>
          <w:p>
            <w:r>
              <w:rPr>
                <w:rFonts w:ascii="Calibri" w:hAnsi="Calibri"/>
                <w:b/>
                <w:sz w:val="22"/>
              </w:rPr>
              <w:t>Initial Guidance (Q1 2026 Earnings Call, Apr 22)</w:t>
            </w:r>
          </w:p>
        </w:tc>
        <w:tc>
          <w:tcPr>
            <w:tcW w:type="dxa" w:w="1728"/>
          </w:tcPr>
          <w:p>
            <w:r>
              <w:rPr>
                <w:rFonts w:ascii="Calibri" w:hAnsi="Calibri"/>
                <w:b/>
                <w:sz w:val="22"/>
              </w:rPr>
              <w:t>Revised Guidance</w:t>
            </w:r>
          </w:p>
        </w:tc>
        <w:tc>
          <w:tcPr>
            <w:tcW w:type="dxa" w:w="1728"/>
          </w:tcPr>
          <w:p>
            <w:r>
              <w:rPr>
                <w:rFonts w:ascii="Calibri" w:hAnsi="Calibri"/>
                <w:b/>
                <w:sz w:val="22"/>
              </w:rPr>
              <w:t>Current Consensus</w:t>
            </w:r>
          </w:p>
        </w:tc>
        <w:tc>
          <w:tcPr>
            <w:tcW w:type="dxa" w:w="1728"/>
          </w:tcPr>
          <w:p>
            <w:r>
              <w:rPr>
                <w:rFonts w:ascii="Calibri" w:hAnsi="Calibri"/>
                <w:b/>
                <w:sz w:val="22"/>
              </w:rPr>
              <w:t>Note</w:t>
            </w:r>
          </w:p>
        </w:tc>
      </w:tr>
      <w:tr>
        <w:tc>
          <w:tcPr>
            <w:tcW w:type="dxa" w:w="1728"/>
          </w:tcPr>
          <w:p>
            <w:r>
              <w:rPr>
                <w:rFonts w:ascii="Calibri" w:hAnsi="Calibri"/>
                <w:sz w:val="22"/>
              </w:rPr>
              <w:t>FY 2026 Net Sales Growth</w:t>
            </w:r>
          </w:p>
        </w:tc>
        <w:tc>
          <w:tcPr>
            <w:tcW w:type="dxa" w:w="1728"/>
          </w:tcPr>
          <w:p>
            <w:r>
              <w:rPr>
                <w:rFonts w:ascii="Calibri" w:hAnsi="Calibri"/>
                <w:sz w:val="22"/>
              </w:rPr>
              <w:t>Up low single digits (upgraded from flat to up low single digits)</w:t>
            </w:r>
          </w:p>
        </w:tc>
        <w:tc>
          <w:tcPr>
            <w:tcW w:type="dxa" w:w="1728"/>
          </w:tcPr>
          <w:p>
            <w:r>
              <w:rPr>
                <w:rFonts w:ascii="Calibri" w:hAnsi="Calibri"/>
                <w:sz w:val="22"/>
              </w:rPr>
              <w:t>—</w:t>
            </w:r>
          </w:p>
        </w:tc>
        <w:tc>
          <w:tcPr>
            <w:tcW w:type="dxa" w:w="1728"/>
          </w:tcPr>
          <w:p>
            <w:r>
              <w:rPr>
                <w:rFonts w:ascii="Calibri" w:hAnsi="Calibri"/>
                <w:sz w:val="22"/>
              </w:rPr>
              <w:t>~+2% YoY ($7.76B)</w:t>
            </w:r>
          </w:p>
        </w:tc>
        <w:tc>
          <w:tcPr>
            <w:tcW w:type="dxa" w:w="1728"/>
          </w:tcPr>
          <w:p>
            <w:r>
              <w:rPr>
                <w:rFonts w:ascii="Calibri" w:hAnsi="Calibri"/>
                <w:sz w:val="22"/>
              </w:rPr>
              <w:t>Unchanged; consensus in line with guide</w:t>
            </w:r>
          </w:p>
        </w:tc>
      </w:tr>
      <w:tr>
        <w:tc>
          <w:tcPr>
            <w:tcW w:type="dxa" w:w="1728"/>
          </w:tcPr>
          <w:p>
            <w:r>
              <w:rPr>
                <w:rFonts w:ascii="Calibri" w:hAnsi="Calibri"/>
                <w:sz w:val="22"/>
              </w:rPr>
              <w:t>FY 2026 Adj. Operating EPS</w:t>
            </w:r>
          </w:p>
        </w:tc>
        <w:tc>
          <w:tcPr>
            <w:tcW w:type="dxa" w:w="1728"/>
          </w:tcPr>
          <w:p>
            <w:r>
              <w:rPr>
                <w:rFonts w:ascii="Calibri" w:hAnsi="Calibri"/>
                <w:sz w:val="22"/>
              </w:rPr>
              <w:t>$4.10–$4.30 (midpoint $4.20); assumes 200M avg diluted shares, 24.5% tax rate</w:t>
            </w:r>
          </w:p>
        </w:tc>
        <w:tc>
          <w:tcPr>
            <w:tcW w:type="dxa" w:w="1728"/>
          </w:tcPr>
          <w:p>
            <w:r>
              <w:rPr>
                <w:rFonts w:ascii="Calibri" w:hAnsi="Calibri"/>
                <w:sz w:val="22"/>
              </w:rPr>
              <w:t>—</w:t>
            </w:r>
          </w:p>
        </w:tc>
        <w:tc>
          <w:tcPr>
            <w:tcW w:type="dxa" w:w="1728"/>
          </w:tcPr>
          <w:p>
            <w:r>
              <w:rPr>
                <w:rFonts w:ascii="Calibri" w:hAnsi="Calibri"/>
                <w:sz w:val="22"/>
              </w:rPr>
              <w:t>$4.27</w:t>
            </w:r>
          </w:p>
        </w:tc>
        <w:tc>
          <w:tcPr>
            <w:tcW w:type="dxa" w:w="1728"/>
          </w:tcPr>
          <w:p>
            <w:r>
              <w:rPr>
                <w:rFonts w:ascii="Calibri" w:hAnsi="Calibri"/>
                <w:sz w:val="22"/>
              </w:rPr>
              <w:t>Unchanged; consensus slightly above midpoint</w:t>
            </w:r>
          </w:p>
        </w:tc>
      </w:tr>
      <w:tr>
        <w:tc>
          <w:tcPr>
            <w:tcW w:type="dxa" w:w="1728"/>
          </w:tcPr>
          <w:p>
            <w:r>
              <w:rPr>
                <w:rFonts w:ascii="Calibri" w:hAnsi="Calibri"/>
                <w:sz w:val="22"/>
              </w:rPr>
              <w:t>FY 2026 Operating Margin</w:t>
            </w:r>
          </w:p>
        </w:tc>
        <w:tc>
          <w:tcPr>
            <w:tcW w:type="dxa" w:w="1728"/>
          </w:tcPr>
          <w:p>
            <w:r>
              <w:rPr>
                <w:rFonts w:ascii="Calibri" w:hAnsi="Calibri"/>
                <w:sz w:val="22"/>
              </w:rPr>
              <w:t>~17% (expand from 16.8% in 2025); H1 roughly flat YoY, H2 expansion</w:t>
            </w:r>
          </w:p>
        </w:tc>
        <w:tc>
          <w:tcPr>
            <w:tcW w:type="dxa" w:w="1728"/>
          </w:tcPr>
          <w:p>
            <w:r>
              <w:rPr>
                <w:rFonts w:ascii="Calibri" w:hAnsi="Calibri"/>
                <w:sz w:val="22"/>
              </w:rPr>
              <w:t>—</w:t>
            </w:r>
          </w:p>
        </w:tc>
        <w:tc>
          <w:tcPr>
            <w:tcW w:type="dxa" w:w="1728"/>
          </w:tcPr>
          <w:p>
            <w:r>
              <w:rPr>
                <w:rFonts w:ascii="Calibri" w:hAnsi="Calibri"/>
                <w:sz w:val="22"/>
              </w:rPr>
              <w:t>~16.9%</w:t>
            </w:r>
          </w:p>
        </w:tc>
        <w:tc>
          <w:tcPr>
            <w:tcW w:type="dxa" w:w="1728"/>
          </w:tcPr>
          <w:p>
            <w:r>
              <w:rPr>
                <w:rFonts w:ascii="Calibri" w:hAnsi="Calibri"/>
                <w:sz w:val="22"/>
              </w:rPr>
              <w:t>Unchanged; consensus in line with guide</w:t>
            </w:r>
          </w:p>
        </w:tc>
      </w:tr>
      <w:tr>
        <w:tc>
          <w:tcPr>
            <w:tcW w:type="dxa" w:w="1728"/>
          </w:tcPr>
          <w:p>
            <w:r>
              <w:rPr>
                <w:rFonts w:ascii="Calibri" w:hAnsi="Calibri"/>
                <w:sz w:val="22"/>
              </w:rPr>
              <w:t>Plumbing Segment Operating Margin</w:t>
            </w:r>
          </w:p>
        </w:tc>
        <w:tc>
          <w:tcPr>
            <w:tcW w:type="dxa" w:w="1728"/>
          </w:tcPr>
          <w:p>
            <w:r>
              <w:rPr>
                <w:rFonts w:ascii="Calibri" w:hAnsi="Calibri"/>
                <w:sz w:val="22"/>
              </w:rPr>
              <w:t>~18% FY 2026; sales up low single digits</w:t>
            </w:r>
          </w:p>
        </w:tc>
        <w:tc>
          <w:tcPr>
            <w:tcW w:type="dxa" w:w="1728"/>
          </w:tcPr>
          <w:p>
            <w:r>
              <w:rPr>
                <w:rFonts w:ascii="Calibri" w:hAnsi="Calibri"/>
                <w:sz w:val="22"/>
              </w:rPr>
              <w:t>—</w:t>
            </w:r>
          </w:p>
        </w:tc>
        <w:tc>
          <w:tcPr>
            <w:tcW w:type="dxa" w:w="1728"/>
          </w:tcPr>
          <w:p>
            <w:r>
              <w:rPr>
                <w:rFonts w:ascii="Calibri" w:hAnsi="Calibri"/>
                <w:sz w:val="22"/>
              </w:rPr>
              <w:t>~18.0%</w:t>
            </w:r>
          </w:p>
        </w:tc>
        <w:tc>
          <w:tcPr>
            <w:tcW w:type="dxa" w:w="1728"/>
          </w:tcPr>
          <w:p>
            <w:r>
              <w:rPr>
                <w:rFonts w:ascii="Calibri" w:hAnsi="Calibri"/>
                <w:sz w:val="22"/>
              </w:rPr>
              <w:t>Unchanged; consensus in line with guide</w:t>
            </w:r>
          </w:p>
        </w:tc>
      </w:tr>
      <w:tr>
        <w:tc>
          <w:tcPr>
            <w:tcW w:type="dxa" w:w="1728"/>
          </w:tcPr>
          <w:p>
            <w:r>
              <w:rPr>
                <w:rFonts w:ascii="Calibri" w:hAnsi="Calibri"/>
                <w:sz w:val="22"/>
              </w:rPr>
              <w:t>Decorative Architectural Segment Operating Margin</w:t>
            </w:r>
          </w:p>
        </w:tc>
        <w:tc>
          <w:tcPr>
            <w:tcW w:type="dxa" w:w="1728"/>
          </w:tcPr>
          <w:p>
            <w:r>
              <w:rPr>
                <w:rFonts w:ascii="Calibri" w:hAnsi="Calibri"/>
                <w:sz w:val="22"/>
              </w:rPr>
              <w:t>~19% FY 2026; sales roughly flat</w:t>
            </w:r>
          </w:p>
        </w:tc>
        <w:tc>
          <w:tcPr>
            <w:tcW w:type="dxa" w:w="1728"/>
          </w:tcPr>
          <w:p>
            <w:r>
              <w:rPr>
                <w:rFonts w:ascii="Calibri" w:hAnsi="Calibri"/>
                <w:sz w:val="22"/>
              </w:rPr>
              <w:t>—</w:t>
            </w:r>
          </w:p>
        </w:tc>
        <w:tc>
          <w:tcPr>
            <w:tcW w:type="dxa" w:w="1728"/>
          </w:tcPr>
          <w:p>
            <w:r>
              <w:rPr>
                <w:rFonts w:ascii="Calibri" w:hAnsi="Calibri"/>
                <w:sz w:val="22"/>
              </w:rPr>
              <w:t>~19.1%</w:t>
            </w:r>
          </w:p>
        </w:tc>
        <w:tc>
          <w:tcPr>
            <w:tcW w:type="dxa" w:w="1728"/>
          </w:tcPr>
          <w:p>
            <w:r>
              <w:rPr>
                <w:rFonts w:ascii="Calibri" w:hAnsi="Calibri"/>
                <w:sz w:val="22"/>
              </w:rPr>
              <w:t>Unchanged; oil/resin cost risk flagged as near-term headwind</w:t>
            </w:r>
          </w:p>
        </w:tc>
      </w:tr>
      <w:tr>
        <w:tc>
          <w:tcPr>
            <w:tcW w:type="dxa" w:w="1728"/>
          </w:tcPr>
          <w:p>
            <w:r>
              <w:rPr>
                <w:rFonts w:ascii="Calibri" w:hAnsi="Calibri"/>
                <w:sz w:val="22"/>
              </w:rPr>
              <w:t>Capital Return</w:t>
            </w:r>
          </w:p>
        </w:tc>
        <w:tc>
          <w:tcPr>
            <w:tcW w:type="dxa" w:w="1728"/>
          </w:tcPr>
          <w:p>
            <w:r>
              <w:rPr>
                <w:rFonts w:ascii="Calibri" w:hAnsi="Calibri"/>
                <w:sz w:val="22"/>
              </w:rPr>
              <w:t>At least $800M (share repurchases or acquisitions); new $500M delayed-draw term loan</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management views shares as undervalued</w:t>
            </w:r>
          </w:p>
        </w:tc>
      </w:tr>
      <w:tr>
        <w:tc>
          <w:tcPr>
            <w:tcW w:type="dxa" w:w="1728"/>
          </w:tcPr>
          <w:p>
            <w:r>
              <w:rPr>
                <w:rFonts w:ascii="Calibri" w:hAnsi="Calibri"/>
                <w:sz w:val="22"/>
              </w:rPr>
              <w:t>Restructuring Charges</w:t>
            </w:r>
          </w:p>
        </w:tc>
        <w:tc>
          <w:tcPr>
            <w:tcW w:type="dxa" w:w="1728"/>
          </w:tcPr>
          <w:p>
            <w:r>
              <w:rPr>
                <w:rFonts w:ascii="Calibri" w:hAnsi="Calibri"/>
                <w:sz w:val="22"/>
              </w:rPr>
              <w:t>~$50M total in 2026; ~$8M incurred in Q1</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full savings benefit expected in 2027–2028</w:t>
            </w:r>
          </w:p>
        </w:tc>
      </w:tr>
      <w:tr>
        <w:tc>
          <w:tcPr>
            <w:tcW w:type="dxa" w:w="1728"/>
          </w:tcPr>
          <w:p>
            <w:r>
              <w:rPr>
                <w:rFonts w:ascii="Calibri" w:hAnsi="Calibri"/>
                <w:sz w:val="22"/>
              </w:rPr>
              <w:t>Long-Term Targets (2028)</w:t>
            </w:r>
          </w:p>
        </w:tc>
        <w:tc>
          <w:tcPr>
            <w:tcW w:type="dxa" w:w="1728"/>
          </w:tcPr>
          <w:p>
            <w:r>
              <w:rPr>
                <w:rFonts w:ascii="Calibri" w:hAnsi="Calibri"/>
                <w:sz w:val="22"/>
              </w:rPr>
              <w:t>Not provided at Q1 earnings</w:t>
            </w:r>
          </w:p>
        </w:tc>
        <w:tc>
          <w:tcPr>
            <w:tcW w:type="dxa" w:w="1728"/>
          </w:tcPr>
          <w:p>
            <w:r>
              <w:rPr>
                <w:rFonts w:ascii="Calibri" w:hAnsi="Calibri"/>
                <w:sz w:val="22"/>
              </w:rPr>
              <w:t>↑ Added at Investor Day (May 13, 2026): 18%+ op. margin, ~10% EPS CAGR, $8B+ net sales, 3–4% organic growth</w:t>
            </w:r>
          </w:p>
        </w:tc>
        <w:tc>
          <w:tcPr>
            <w:tcW w:type="dxa" w:w="1728"/>
          </w:tcPr>
          <w:p>
            <w:r>
              <w:rPr>
                <w:rFonts w:ascii="Calibri" w:hAnsi="Calibri"/>
                <w:sz w:val="22"/>
              </w:rPr>
              <w:t>N/A</w:t>
            </w:r>
          </w:p>
        </w:tc>
        <w:tc>
          <w:tcPr>
            <w:tcW w:type="dxa" w:w="1728"/>
          </w:tcPr>
          <w:p>
            <w:r>
              <w:rPr>
                <w:rFonts w:ascii="Calibri" w:hAnsi="Calibri"/>
                <w:sz w:val="22"/>
              </w:rPr>
              <w:t>↑ Incrementally positive; Investor Day May 13, 2026</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Q1 2026 print — Q2 and FY consensus has barely moved from the post-earnings baseline, suggesting the Street has fully digested guidance and is not pricing in incremental upside or downside. </w:t>
      </w:r>
      <w:r>
        <w:rPr>
          <w:rFonts w:ascii="Calibri" w:hAnsi="Calibri"/>
          <w:b/>
          <w:color w:val="525866"/>
          <w:sz w:val="22"/>
        </w:rPr>
        <w:t>The gap between consensus and guidance midpoints is narrow (within 1–2%), indicating estimates are tracking guidance closely with no meaningful divergence.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tcPr>
          <w:p>
            <w:r>
              <w:rPr>
                <w:rFonts w:ascii="Calibri" w:hAnsi="Calibri"/>
                <w:b/>
                <w:sz w:val="22"/>
              </w:rPr>
              <w:t>KPI (Period)</w:t>
            </w:r>
          </w:p>
        </w:tc>
        <w:tc>
          <w:tcPr>
            <w:tcW w:type="dxa" w:w="1080"/>
          </w:tcPr>
          <w:p>
            <w:r>
              <w:rPr>
                <w:rFonts w:ascii="Calibri" w:hAnsi="Calibri"/>
                <w:b/>
                <w:sz w:val="22"/>
              </w:rPr>
              <w:t>Estimate ~5 Days Post Q1 Earnings (Apr 28, 2026)</w:t>
            </w:r>
          </w:p>
        </w:tc>
        <w:tc>
          <w:tcPr>
            <w:tcW w:type="dxa" w:w="1080"/>
          </w:tcPr>
          <w:p>
            <w:r>
              <w:rPr>
                <w:rFonts w:ascii="Calibri" w:hAnsi="Calibri"/>
                <w:b/>
                <w:sz w:val="22"/>
              </w:rPr>
              <w:t>Current Consensus (Jul 28, 2026)</w:t>
            </w:r>
          </w:p>
        </w:tc>
        <w:tc>
          <w:tcPr>
            <w:tcW w:type="dxa" w:w="1080"/>
          </w:tcPr>
          <w:p>
            <w:r>
              <w:rPr>
                <w:rFonts w:ascii="Calibri" w:hAnsi="Calibri"/>
                <w:b/>
                <w:sz w:val="22"/>
              </w:rPr>
              <w:t>Estimate Δ (%)</w:t>
            </w:r>
          </w:p>
        </w:tc>
        <w:tc>
          <w:tcPr>
            <w:tcW w:type="dxa" w:w="1080"/>
          </w:tcPr>
          <w:p>
            <w:r>
              <w:rPr>
                <w:rFonts w:ascii="Calibri" w:hAnsi="Calibri"/>
                <w:b/>
                <w:sz w:val="22"/>
              </w:rPr>
              <w:t>Initial Guidance (Q1 Call)</w:t>
            </w:r>
          </w:p>
        </w:tc>
        <w:tc>
          <w:tcPr>
            <w:tcW w:type="dxa" w:w="1080"/>
          </w:tcPr>
          <w:p>
            <w:r>
              <w:rPr>
                <w:rFonts w:ascii="Calibri" w:hAnsi="Calibri"/>
                <w:b/>
                <w:sz w:val="22"/>
              </w:rPr>
              <w:t>Current Guidance</w:t>
            </w:r>
          </w:p>
        </w:tc>
        <w:tc>
          <w:tcPr>
            <w:tcW w:type="dxa" w:w="1080"/>
          </w:tcPr>
          <w:p>
            <w:r>
              <w:rPr>
                <w:rFonts w:ascii="Calibri" w:hAnsi="Calibri"/>
                <w:b/>
                <w:sz w:val="22"/>
              </w:rPr>
              <w:t>Guidance Δ</w:t>
            </w:r>
          </w:p>
        </w:tc>
        <w:tc>
          <w:tcPr>
            <w:tcW w:type="dxa" w:w="1080"/>
          </w:tcPr>
          <w:p>
            <w:r>
              <w:rPr>
                <w:rFonts w:ascii="Calibri" w:hAnsi="Calibri"/>
                <w:b/>
                <w:sz w:val="22"/>
              </w:rPr>
              <w:t>Consensus vs. Guidance (%)</w:t>
            </w:r>
          </w:p>
        </w:tc>
      </w:tr>
      <w:tr>
        <w:tc>
          <w:tcPr>
            <w:tcW w:type="dxa" w:w="1080"/>
          </w:tcPr>
          <w:p>
            <w:r>
              <w:rPr>
                <w:rFonts w:ascii="Calibri" w:hAnsi="Calibri"/>
                <w:sz w:val="22"/>
              </w:rPr>
              <w:t>Net Sales — Q2 2026</w:t>
            </w:r>
          </w:p>
        </w:tc>
        <w:tc>
          <w:tcPr>
            <w:tcW w:type="dxa" w:w="1080"/>
          </w:tcPr>
          <w:p>
            <w:r>
              <w:rPr>
                <w:rFonts w:ascii="Calibri" w:hAnsi="Calibri"/>
                <w:sz w:val="22"/>
              </w:rPr>
              <w:t>$2,078M</w:t>
            </w:r>
          </w:p>
        </w:tc>
        <w:tc>
          <w:tcPr>
            <w:tcW w:type="dxa" w:w="1080"/>
          </w:tcPr>
          <w:p>
            <w:r>
              <w:rPr>
                <w:rFonts w:ascii="Calibri" w:hAnsi="Calibri"/>
                <w:sz w:val="22"/>
              </w:rPr>
              <w:t>$2,079M</w:t>
            </w:r>
          </w:p>
        </w:tc>
        <w:tc>
          <w:tcPr>
            <w:tcW w:type="dxa" w:w="1080"/>
          </w:tcPr>
          <w:p>
            <w:r>
              <w:rPr>
                <w:rFonts w:ascii="Calibri" w:hAnsi="Calibri"/>
                <w:sz w:val="22"/>
              </w:rPr>
              <w:t>+0.1%</w:t>
            </w:r>
          </w:p>
        </w:tc>
        <w:tc>
          <w:tcPr>
            <w:tcW w:type="dxa" w:w="1080"/>
          </w:tcPr>
          <w:p>
            <w:r>
              <w:rPr>
                <w:rFonts w:ascii="Calibri" w:hAnsi="Calibri"/>
                <w:sz w:val="22"/>
              </w:rPr>
              <w:t>Up low single digits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Op. EPS — Q2 2026</w:t>
            </w:r>
          </w:p>
        </w:tc>
        <w:tc>
          <w:tcPr>
            <w:tcW w:type="dxa" w:w="1080"/>
          </w:tcPr>
          <w:p>
            <w:r>
              <w:rPr>
                <w:rFonts w:ascii="Calibri" w:hAnsi="Calibri"/>
                <w:sz w:val="22"/>
              </w:rPr>
              <w:t>$1.31</w:t>
            </w:r>
          </w:p>
        </w:tc>
        <w:tc>
          <w:tcPr>
            <w:tcW w:type="dxa" w:w="1080"/>
          </w:tcPr>
          <w:p>
            <w:r>
              <w:rPr>
                <w:rFonts w:ascii="Calibri" w:hAnsi="Calibri"/>
                <w:sz w:val="22"/>
              </w:rPr>
              <w:t>$1.31</w:t>
            </w:r>
          </w:p>
        </w:tc>
        <w:tc>
          <w:tcPr>
            <w:tcW w:type="dxa" w:w="1080"/>
          </w:tcPr>
          <w:p>
            <w:r>
              <w:rPr>
                <w:rFonts w:ascii="Calibri" w:hAnsi="Calibri"/>
                <w:sz w:val="22"/>
              </w:rPr>
              <w:t>0.0%</w:t>
            </w:r>
          </w:p>
        </w:tc>
        <w:tc>
          <w:tcPr>
            <w:tcW w:type="dxa" w:w="1080"/>
          </w:tcPr>
          <w:p>
            <w:r>
              <w:rPr>
                <w:rFonts w:ascii="Calibri" w:hAnsi="Calibri"/>
                <w:sz w:val="22"/>
              </w:rPr>
              <w:t>N/A (Q2 not guided explicitly)</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Net Sales — FY 2026</w:t>
            </w:r>
          </w:p>
        </w:tc>
        <w:tc>
          <w:tcPr>
            <w:tcW w:type="dxa" w:w="1080"/>
          </w:tcPr>
          <w:p>
            <w:r>
              <w:rPr>
                <w:rFonts w:ascii="Calibri" w:hAnsi="Calibri"/>
                <w:sz w:val="22"/>
              </w:rPr>
              <w:t>$7,760M</w:t>
            </w:r>
          </w:p>
        </w:tc>
        <w:tc>
          <w:tcPr>
            <w:tcW w:type="dxa" w:w="1080"/>
          </w:tcPr>
          <w:p>
            <w:r>
              <w:rPr>
                <w:rFonts w:ascii="Calibri" w:hAnsi="Calibri"/>
                <w:sz w:val="22"/>
              </w:rPr>
              <w:t>$7,763M</w:t>
            </w:r>
          </w:p>
        </w:tc>
        <w:tc>
          <w:tcPr>
            <w:tcW w:type="dxa" w:w="1080"/>
          </w:tcPr>
          <w:p>
            <w:r>
              <w:rPr>
                <w:rFonts w:ascii="Calibri" w:hAnsi="Calibri"/>
                <w:sz w:val="22"/>
              </w:rPr>
              <w:t>+0.0%</w:t>
            </w:r>
          </w:p>
        </w:tc>
        <w:tc>
          <w:tcPr>
            <w:tcW w:type="dxa" w:w="1080"/>
          </w:tcPr>
          <w:p>
            <w:r>
              <w:rPr>
                <w:rFonts w:ascii="Calibri" w:hAnsi="Calibri"/>
                <w:sz w:val="22"/>
              </w:rPr>
              <w:t>Up low single digits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Op. EPS — FY 2026</w:t>
            </w:r>
          </w:p>
        </w:tc>
        <w:tc>
          <w:tcPr>
            <w:tcW w:type="dxa" w:w="1080"/>
          </w:tcPr>
          <w:p>
            <w:r>
              <w:rPr>
                <w:rFonts w:ascii="Calibri" w:hAnsi="Calibri"/>
                <w:sz w:val="22"/>
              </w:rPr>
              <w:t>$4.26</w:t>
            </w:r>
          </w:p>
        </w:tc>
        <w:tc>
          <w:tcPr>
            <w:tcW w:type="dxa" w:w="1080"/>
          </w:tcPr>
          <w:p>
            <w:r>
              <w:rPr>
                <w:rFonts w:ascii="Calibri" w:hAnsi="Calibri"/>
                <w:sz w:val="22"/>
              </w:rPr>
              <w:t>$4.27</w:t>
            </w:r>
          </w:p>
        </w:tc>
        <w:tc>
          <w:tcPr>
            <w:tcW w:type="dxa" w:w="1080"/>
          </w:tcPr>
          <w:p>
            <w:r>
              <w:rPr>
                <w:rFonts w:ascii="Calibri" w:hAnsi="Calibri"/>
                <w:sz w:val="22"/>
              </w:rPr>
              <w:t>+0.2%</w:t>
            </w:r>
          </w:p>
        </w:tc>
        <w:tc>
          <w:tcPr>
            <w:tcW w:type="dxa" w:w="1080"/>
          </w:tcPr>
          <w:p>
            <w:r>
              <w:rPr>
                <w:rFonts w:ascii="Calibri" w:hAnsi="Calibri"/>
                <w:sz w:val="22"/>
              </w:rPr>
              <w:t>$4.10–$4.30 ($4.20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+1.7% above midpoint</w:t>
            </w:r>
          </w:p>
        </w:tc>
      </w:tr>
      <w:tr>
        <w:tc>
          <w:tcPr>
            <w:tcW w:type="dxa" w:w="1080"/>
          </w:tcPr>
          <w:p>
            <w:r>
              <w:rPr>
                <w:rFonts w:ascii="Calibri" w:hAnsi="Calibri"/>
                <w:sz w:val="22"/>
              </w:rPr>
              <w:t>Operating Margin — FY 2026</w:t>
            </w:r>
          </w:p>
        </w:tc>
        <w:tc>
          <w:tcPr>
            <w:tcW w:type="dxa" w:w="1080"/>
          </w:tcPr>
          <w:p>
            <w:r>
              <w:rPr>
                <w:rFonts w:ascii="Calibri" w:hAnsi="Calibri"/>
                <w:sz w:val="22"/>
              </w:rPr>
              <w:t>16.94%</w:t>
            </w:r>
          </w:p>
        </w:tc>
        <w:tc>
          <w:tcPr>
            <w:tcW w:type="dxa" w:w="1080"/>
          </w:tcPr>
          <w:p>
            <w:r>
              <w:rPr>
                <w:rFonts w:ascii="Calibri" w:hAnsi="Calibri"/>
                <w:sz w:val="22"/>
              </w:rPr>
              <w:t>16.95%</w:t>
            </w:r>
          </w:p>
        </w:tc>
        <w:tc>
          <w:tcPr>
            <w:tcW w:type="dxa" w:w="1080"/>
          </w:tcPr>
          <w:p>
            <w:r>
              <w:rPr>
                <w:rFonts w:ascii="Calibri" w:hAnsi="Calibri"/>
                <w:sz w:val="22"/>
              </w:rPr>
              <w:t>+0.1 bps</w:t>
            </w:r>
          </w:p>
        </w:tc>
        <w:tc>
          <w:tcPr>
            <w:tcW w:type="dxa" w:w="1080"/>
          </w:tcPr>
          <w:p>
            <w:r>
              <w:rPr>
                <w:rFonts w:ascii="Calibri" w:hAnsi="Calibri"/>
                <w:sz w:val="22"/>
              </w:rPr>
              <w:t>~17%</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Plumbing Op. Margin — FY 2026</w:t>
            </w:r>
          </w:p>
        </w:tc>
        <w:tc>
          <w:tcPr>
            <w:tcW w:type="dxa" w:w="1080"/>
          </w:tcPr>
          <w:p>
            <w:r>
              <w:rPr>
                <w:rFonts w:ascii="Calibri" w:hAnsi="Calibri"/>
                <w:sz w:val="22"/>
              </w:rPr>
              <w:t>18.02%</w:t>
            </w:r>
          </w:p>
        </w:tc>
        <w:tc>
          <w:tcPr>
            <w:tcW w:type="dxa" w:w="1080"/>
          </w:tcPr>
          <w:p>
            <w:r>
              <w:rPr>
                <w:rFonts w:ascii="Calibri" w:hAnsi="Calibri"/>
                <w:sz w:val="22"/>
              </w:rPr>
              <w:t>18.03%</w:t>
            </w:r>
          </w:p>
        </w:tc>
        <w:tc>
          <w:tcPr>
            <w:tcW w:type="dxa" w:w="1080"/>
          </w:tcPr>
          <w:p>
            <w:r>
              <w:rPr>
                <w:rFonts w:ascii="Calibri" w:hAnsi="Calibri"/>
                <w:sz w:val="22"/>
              </w:rPr>
              <w:t>+0.1 bps</w:t>
            </w:r>
          </w:p>
        </w:tc>
        <w:tc>
          <w:tcPr>
            <w:tcW w:type="dxa" w:w="1080"/>
          </w:tcPr>
          <w:p>
            <w:r>
              <w:rPr>
                <w:rFonts w:ascii="Calibri" w:hAnsi="Calibri"/>
                <w:sz w:val="22"/>
              </w:rPr>
              <w:t>~18%</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Dec Arc Op. Margin — FY 2026</w:t>
            </w:r>
          </w:p>
        </w:tc>
        <w:tc>
          <w:tcPr>
            <w:tcW w:type="dxa" w:w="1080"/>
          </w:tcPr>
          <w:p>
            <w:r>
              <w:rPr>
                <w:rFonts w:ascii="Calibri" w:hAnsi="Calibri"/>
                <w:sz w:val="22"/>
              </w:rPr>
              <w:t>19.08%</w:t>
            </w:r>
          </w:p>
        </w:tc>
        <w:tc>
          <w:tcPr>
            <w:tcW w:type="dxa" w:w="1080"/>
          </w:tcPr>
          <w:p>
            <w:r>
              <w:rPr>
                <w:rFonts w:ascii="Calibri" w:hAnsi="Calibri"/>
                <w:sz w:val="22"/>
              </w:rPr>
              <w:t>19.08%</w:t>
            </w:r>
          </w:p>
        </w:tc>
        <w:tc>
          <w:tcPr>
            <w:tcW w:type="dxa" w:w="1080"/>
          </w:tcPr>
          <w:p>
            <w:r>
              <w:rPr>
                <w:rFonts w:ascii="Calibri" w:hAnsi="Calibri"/>
                <w:sz w:val="22"/>
              </w:rPr>
              <w:t>0.0 bps</w:t>
            </w:r>
          </w:p>
        </w:tc>
        <w:tc>
          <w:tcPr>
            <w:tcW w:type="dxa" w:w="1080"/>
          </w:tcPr>
          <w:p>
            <w:r>
              <w:rPr>
                <w:rFonts w:ascii="Calibri" w:hAnsi="Calibri"/>
                <w:sz w:val="22"/>
              </w:rPr>
              <w:t>~19%</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bl>
    <w:p>
      <w:r>
        <w:rPr>
          <w:rFonts w:ascii="Calibri" w:hAnsi="Calibri"/>
          <w:i/>
          <w:color w:val="525866"/>
          <w:sz w:val="22"/>
        </w:rPr>
        <w:t>Source: Visible Alpha Consensus and Actuals Data. Post-earnings baseline uses consensus as of April 28, 2026 (5 trading days after Q1 2026 earnings on April 22, 2026).</w:t>
      </w:r>
    </w:p>
    <w:p>
      <w:r>
        <w:rPr>
          <w:rFonts w:ascii="Calibri" w:hAnsi="Calibri"/>
          <w:color w:val="525866"/>
          <w:sz w:val="22"/>
        </w:rPr>
        <w:t>The near-zero revision delta across all KPIs since the Q1 print confirms the Street has fully priced in guidance. The slight premium of FY EPS consensus ($4.27) above the guidance midpoint ($4.20) reflects modest optimism on share buyback accretion (200M share assumption vs. prior 202M) and restructuring savings, but leaves little room for a positive revision catalyst unless Q2 volume or pricing surprises to the upside.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MAS has outperformed both XHB (+10.3% vs. +0.8%) and the S&amp;P 500 (+4.2%) since the Q1 2026 earnings date, driven primarily by the Q1 beat and raised capital return target; however, the stock sold off sharply in May (to ~$65) following the Investor Day before recovering, suggesting </w:t>
      </w:r>
      <w:r>
        <w:rPr>
          <w:rFonts w:ascii="Calibri" w:hAnsi="Calibri"/>
          <w:b/>
          <w:color w:val="525866"/>
          <w:sz w:val="22"/>
        </w:rPr>
        <w:t>the re-rating has been sentiment- and buyback-driven rather than estimate-driven, and the stock is now trading near the high end of the Street’s target range.</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MAS vs. XHB (SPDR S&amp;P Homebuilders ETF) vs. S&amp;P 500 — Indexed to 100 at Q1 2026 Earnings (Apr 22, 2026). Source: Stock Price Data.</w:t>
      </w:r>
    </w:p>
    <w:p>
      <w:r>
        <w:rPr>
          <w:rFonts w:ascii="Calibri" w:hAnsi="Calibri"/>
          <w:color w:val="525866"/>
          <w:sz w:val="22"/>
        </w:rPr>
        <w:t>MAS closed at $81.61 on July 28, 2026, up +10.3% since the Q1 2026 earnings date (April 22, 2026 close: $73.96). XHB gained +0.8% and SPY gained +4.2% over the same period. The stock’s path was non-linear: it initially rallied to ~$75 on the Q1 beat, then sold off sharply to ~$65 in mid-May (coinciding with the Investor Day on May 13 and broader sector weakness), before recovering strongly through June and July. The June 24 inflection (+6% in two days) appears to coincide with broader sector rotation into building products names. Analyst sentiment is mixed — consensus is “Hold” with an average price target of ~$80, with UBS the most bullish at $97 (Buy) and Barclays most recently raising its target to $82 (Equal Weight) on July 14. At $81.61, MAS is trading at or above the Street’s average target, limiting near-term upside unless Q2 results drive a positive revision cycle.</w:t>
      </w:r>
    </w:p>
    <w:p>
      <w:r>
        <w:br w:type="page"/>
      </w:r>
    </w:p>
    <w:p>
      <w:pPr>
        <w:pStyle w:val="Heading2"/>
      </w:pPr>
      <w:r>
        <w:rPr>
          <w:rFonts w:ascii="Calibri" w:hAnsi="Calibri"/>
          <w:b/>
          <w:color w:val="3B4259"/>
          <w:sz w:val="28"/>
        </w:rPr>
        <w:t>6. Peer Commentaries — Q2 2026 Read-Through</w:t>
      </w:r>
    </w:p>
    <w:p>
      <w:r>
        <w:rPr>
          <w:rFonts w:ascii="Calibri" w:hAnsi="Calibri"/>
          <w:b/>
          <w:color w:val="525866"/>
          <w:sz w:val="22"/>
        </w:rPr>
        <w:t xml:space="preserve">Key Takeaway: </w:t>
      </w:r>
      <w:r>
        <w:rPr>
          <w:rFonts w:ascii="Calibri" w:hAnsi="Calibri"/>
          <w:color w:val="525866"/>
          <w:sz w:val="22"/>
        </w:rPr>
        <w:t xml:space="preserve">Peer Q1 2026 earnings calls (reported April–May 2026) paint a consistent picture of </w:t>
      </w:r>
      <w:r>
        <w:rPr>
          <w:rFonts w:ascii="Calibri" w:hAnsi="Calibri"/>
          <w:b/>
          <w:color w:val="525866"/>
          <w:sz w:val="22"/>
        </w:rPr>
        <w:t>soft discretionary R&amp;R demand, persistent commodity cost inflation (oil/resins, asphalt, copper), and cautious consumer sentiment</w:t>
      </w:r>
      <w:r>
        <w:rPr>
          <w:rFonts w:ascii="Calibri" w:hAnsi="Calibri"/>
          <w:color w:val="525866"/>
          <w:sz w:val="22"/>
        </w:rPr>
        <w:t xml:space="preserve"> — all directly relevant to MAS’s Q2 setup. The most actionable read-throughs are from Fortune Brands (FBIN, direct plumbing peer) and Owens Corning (OC, paint/coatings channel overlap), while LP Building Solutions and Trex provide broader R&amp;R demand context. Armstrong World Industries (AWI) reported Q2 2026 results on July 28 and showed commercial construction resilience, which is less directly relevant to MAS’s residential-heavy mix.</w:t>
      </w:r>
    </w:p>
    <w:p>
      <w:pPr>
        <w:pStyle w:val="Heading3"/>
      </w:pPr>
      <w:r>
        <w:rPr>
          <w:rFonts w:ascii="Calibri" w:hAnsi="Calibri"/>
          <w:b/>
          <w:color w:val="3B4259"/>
          <w:sz w:val="24"/>
        </w:rPr>
        <w:t>Fortune Brands Innovations (FBIN) — Q1 2026 Earnings (May 7, 2026)</w:t>
      </w:r>
    </w:p>
    <w:p>
      <w:r>
        <w:rPr>
          <w:rFonts w:ascii="Calibri" w:hAnsi="Calibri"/>
          <w:b/>
          <w:color w:val="525866"/>
          <w:sz w:val="22"/>
        </w:rPr>
        <w:t xml:space="preserve">Relevance: </w:t>
      </w:r>
      <w:r>
        <w:rPr>
          <w:rFonts w:ascii="Calibri" w:hAnsi="Calibri"/>
          <w:color w:val="525866"/>
          <w:sz w:val="22"/>
        </w:rPr>
        <w:t>FBIN’s Water segment (Moen, House of Rohl) is the most direct plumbing peer to MAS’s Delta/Hansgrohe business. FBIN’s commentary on channel inventory, pricing, and new construction demand is a direct read-through for MAS Plumbing.</w:t>
      </w:r>
    </w:p>
    <w:p>
      <w:pPr>
        <w:pStyle w:val="ListBullet"/>
        <w:ind w:left="360" w:hanging="360"/>
      </w:pPr>
      <w:r>
        <w:rPr>
          <w:rFonts w:ascii="Calibri" w:hAnsi="Calibri"/>
          <w:b/>
          <w:color w:val="525866"/>
          <w:sz w:val="22"/>
        </w:rPr>
        <w:t xml:space="preserve">Plumbing channel inventory stable but no restocking: </w:t>
      </w:r>
      <w:r>
        <w:rPr>
          <w:rFonts w:ascii="Calibri" w:hAnsi="Calibri"/>
          <w:color w:val="525866"/>
          <w:sz w:val="22"/>
        </w:rPr>
        <w:t xml:space="preserve">FBIN reported Water segment sales flat at $564M in Q1, with channel inventories “stable” but lapping a large Q1 2025 drawdown. Critically, “there has not been significant restocking in water across any of the channels” — customers are not leaning into an uncertain spring season. </w:t>
      </w:r>
    </w:p>
    <w:p>
      <w:pPr>
        <w:pStyle w:val="ListBullet"/>
        <w:ind w:left="360" w:hanging="360"/>
      </w:pPr>
      <w:r>
        <w:rPr>
          <w:rFonts w:ascii="Calibri" w:hAnsi="Calibri"/>
          <w:b/>
          <w:color w:val="525866"/>
          <w:sz w:val="22"/>
        </w:rPr>
        <w:t xml:space="preserve">Read-through for MAS: </w:t>
      </w:r>
      <w:r>
        <w:rPr>
          <w:rFonts w:ascii="Calibri" w:hAnsi="Calibri"/>
          <w:color w:val="525866"/>
          <w:sz w:val="22"/>
        </w:rPr>
        <w:t>Suggests MAS Plumbing channel inventory is also not building, which could limit Q2 volume upside but also means no destocking risk. MAS’s Q1 volume beat was driven by share gains across all channels (trade, retail, e-commerce), not channel fill.</w:t>
      </w:r>
    </w:p>
    <w:p>
      <w:pPr>
        <w:pStyle w:val="ListBullet"/>
        <w:ind w:left="360" w:hanging="360"/>
      </w:pPr>
      <w:r>
        <w:rPr>
          <w:rFonts w:ascii="Calibri" w:hAnsi="Calibri"/>
          <w:b/>
          <w:color w:val="525866"/>
          <w:sz w:val="22"/>
        </w:rPr>
        <w:t xml:space="preserve">New construction headwind persists: </w:t>
      </w:r>
      <w:r>
        <w:rPr>
          <w:rFonts w:ascii="Calibri" w:hAnsi="Calibri"/>
          <w:color w:val="525866"/>
          <w:sz w:val="22"/>
        </w:rPr>
        <w:t xml:space="preserve">FBIN cited single-family new construction as a 200–300 bps headwind in Q1, with wholesale channel weaker than retail/e-commerce. Moen saw retail and e-commerce growth offset by wholesale declines. </w:t>
      </w:r>
    </w:p>
    <w:p>
      <w:pPr>
        <w:pStyle w:val="ListBullet"/>
        <w:ind w:left="360" w:hanging="360"/>
      </w:pPr>
      <w:r>
        <w:rPr>
          <w:rFonts w:ascii="Calibri" w:hAnsi="Calibri"/>
          <w:b/>
          <w:color w:val="525866"/>
          <w:sz w:val="22"/>
        </w:rPr>
        <w:t xml:space="preserve">Read-through for MAS: </w:t>
      </w:r>
      <w:r>
        <w:rPr>
          <w:rFonts w:ascii="Calibri" w:hAnsi="Calibri"/>
          <w:color w:val="525866"/>
          <w:sz w:val="22"/>
        </w:rPr>
        <w:t>MAS’s Delta Faucet grew across all three channels in Q1, suggesting it is outperforming FBIN in the wholesale channel — a potential share gain signal. However, if new construction remains soft in Q2, MAS’s wholesale exposure could be a modest headwind.</w:t>
      </w:r>
    </w:p>
    <w:p>
      <w:pPr>
        <w:pStyle w:val="ListBullet"/>
        <w:ind w:left="360" w:hanging="360"/>
      </w:pPr>
      <w:r>
        <w:rPr>
          <w:rFonts w:ascii="Calibri" w:hAnsi="Calibri"/>
          <w:b/>
          <w:color w:val="525866"/>
          <w:sz w:val="22"/>
        </w:rPr>
        <w:t xml:space="preserve">Tariff/commodity cost headwind: </w:t>
      </w:r>
      <w:r>
        <w:rPr>
          <w:rFonts w:ascii="Calibri" w:hAnsi="Calibri"/>
          <w:color w:val="525866"/>
          <w:sz w:val="22"/>
        </w:rPr>
        <w:t xml:space="preserve">FBIN’s total inflation (including tariffs) rose to $180M for FY 2026 (from prior guide of $140M), with the tariff component unchanged at $100M — the incremental $40M is pure commodity/freight inflation. Price/cost expected to be negative in H1, turning favorable in H2 (mostly Q4). </w:t>
      </w:r>
    </w:p>
    <w:p>
      <w:pPr>
        <w:pStyle w:val="ListBullet"/>
        <w:ind w:left="360" w:hanging="360"/>
      </w:pPr>
      <w:r>
        <w:rPr>
          <w:rFonts w:ascii="Calibri" w:hAnsi="Calibri"/>
          <w:b/>
          <w:color w:val="525866"/>
          <w:sz w:val="22"/>
        </w:rPr>
        <w:t xml:space="preserve">Read-through for MAS: </w:t>
      </w:r>
      <w:r>
        <w:rPr>
          <w:rFonts w:ascii="Calibri" w:hAnsi="Calibri"/>
          <w:color w:val="525866"/>
          <w:sz w:val="22"/>
        </w:rPr>
        <w:t>Consistent with MAS’s own messaging that commodity costs (copper, zinc, oil/resins) are more than offsetting tariff favorability. FBIN’s H1 price/cost headwind is a direct analog for MAS Plumbing’s Q2 margin pressure.</w:t>
      </w:r>
    </w:p>
    <w:p>
      <w:pPr>
        <w:pStyle w:val="ListBullet"/>
        <w:ind w:left="360" w:hanging="360"/>
      </w:pPr>
      <w:r>
        <w:rPr>
          <w:rFonts w:ascii="Calibri" w:hAnsi="Calibri"/>
          <w:b/>
          <w:color w:val="525866"/>
          <w:sz w:val="22"/>
        </w:rPr>
        <w:t xml:space="preserve">Higher-end consumer resilient: </w:t>
      </w:r>
      <w:r>
        <w:rPr>
          <w:rFonts w:ascii="Calibri" w:hAnsi="Calibri"/>
          <w:color w:val="525866"/>
          <w:sz w:val="22"/>
        </w:rPr>
        <w:t xml:space="preserve">House of Rohl (luxury plumbing) continued to perform well with “inelastic price demand” from higher-income consumers. </w:t>
      </w:r>
    </w:p>
    <w:p>
      <w:pPr>
        <w:pStyle w:val="ListBullet"/>
        <w:ind w:left="360" w:hanging="360"/>
      </w:pPr>
      <w:r>
        <w:rPr>
          <w:rFonts w:ascii="Calibri" w:hAnsi="Calibri"/>
          <w:b/>
          <w:color w:val="525866"/>
          <w:sz w:val="22"/>
        </w:rPr>
        <w:t xml:space="preserve">Read-through for MAS: </w:t>
      </w:r>
      <w:r>
        <w:rPr>
          <w:rFonts w:ascii="Calibri" w:hAnsi="Calibri"/>
          <w:color w:val="525866"/>
          <w:sz w:val="22"/>
        </w:rPr>
        <w:t>Positive for MAS’s Brizo, Axor, and Newport Brass luxury brands, which management highlighted as a strength in Q1. Luxury/premium plumbing appears to be a pocket of resilience across the industry.</w:t>
      </w:r>
    </w:p>
    <w:p>
      <w:pPr>
        <w:pStyle w:val="Heading3"/>
      </w:pPr>
      <w:r>
        <w:rPr>
          <w:rFonts w:ascii="Calibri" w:hAnsi="Calibri"/>
          <w:b/>
          <w:color w:val="3B4259"/>
          <w:sz w:val="24"/>
        </w:rPr>
        <w:t>Owens Corning (OC) — Q1 2026 Earnings (May 6, 2026)</w:t>
      </w:r>
    </w:p>
    <w:p>
      <w:r>
        <w:rPr>
          <w:rFonts w:ascii="Calibri" w:hAnsi="Calibri"/>
          <w:b/>
          <w:color w:val="525866"/>
          <w:sz w:val="22"/>
        </w:rPr>
        <w:t xml:space="preserve">Relevance: </w:t>
      </w:r>
      <w:r>
        <w:rPr>
          <w:rFonts w:ascii="Calibri" w:hAnsi="Calibri"/>
          <w:color w:val="525866"/>
          <w:sz w:val="22"/>
        </w:rPr>
        <w:t>OC serves the same home improvement retail channel (4,100+ home center locations) and faces similar commodity cost dynamics (oil/asphalt/resins). OC’s Q2 2026 guidance and commentary on discretionary R&amp;R demand is a read-through for MAS’s Decorative Architectural (Behr paint) segment.</w:t>
      </w:r>
    </w:p>
    <w:p>
      <w:pPr>
        <w:pStyle w:val="ListBullet"/>
        <w:ind w:left="360" w:hanging="360"/>
      </w:pPr>
      <w:r>
        <w:rPr>
          <w:rFonts w:ascii="Calibri" w:hAnsi="Calibri"/>
          <w:b/>
          <w:color w:val="525866"/>
          <w:sz w:val="22"/>
        </w:rPr>
        <w:t xml:space="preserve">Discretionary R&amp;R remains under pressure in Q2: </w:t>
      </w:r>
      <w:r>
        <w:rPr>
          <w:rFonts w:ascii="Calibri" w:hAnsi="Calibri"/>
          <w:color w:val="525866"/>
          <w:sz w:val="22"/>
        </w:rPr>
        <w:t xml:space="preserve">OC guided Q2 2026 revenue of $2.6–$2.7B (slightly below prior year), explicitly stating “discretionary remodel activity and residential new construction in the U.S. to remain under pressure” in Q2. </w:t>
      </w:r>
    </w:p>
    <w:p>
      <w:pPr>
        <w:pStyle w:val="ListBullet"/>
        <w:ind w:left="360" w:hanging="360"/>
      </w:pPr>
      <w:r>
        <w:rPr>
          <w:rFonts w:ascii="Calibri" w:hAnsi="Calibri"/>
          <w:b/>
          <w:color w:val="525866"/>
          <w:sz w:val="22"/>
        </w:rPr>
        <w:t xml:space="preserve">Read-through for MAS: </w:t>
      </w:r>
      <w:r>
        <w:rPr>
          <w:rFonts w:ascii="Calibri" w:hAnsi="Calibri"/>
          <w:color w:val="525866"/>
          <w:sz w:val="22"/>
        </w:rPr>
        <w:t>Directly negative for MAS’s DIY paint business, which is already guided down mid-single digits for FY 2026. OC’s Q2 outlook confirms the discretionary R&amp;R weakness that is pressuring Behr DIY volumes is not abating.</w:t>
      </w:r>
    </w:p>
    <w:p>
      <w:pPr>
        <w:pStyle w:val="ListBullet"/>
        <w:ind w:left="360" w:hanging="360"/>
      </w:pPr>
      <w:r>
        <w:rPr>
          <w:rFonts w:ascii="Calibri" w:hAnsi="Calibri"/>
          <w:b/>
          <w:color w:val="525866"/>
          <w:sz w:val="22"/>
        </w:rPr>
        <w:t xml:space="preserve">Oil/commodity inflation is a significant Q2 headwind: </w:t>
      </w:r>
      <w:r>
        <w:rPr>
          <w:rFonts w:ascii="Calibri" w:hAnsi="Calibri"/>
          <w:color w:val="525866"/>
          <w:sz w:val="22"/>
        </w:rPr>
        <w:t xml:space="preserve">OC quantified ~$60M in Q2 inflation from the Iran conflict (asphalt, delivery/fuel surcharges, petrochemicals/polystyrene). Asphalt inflation is direct; resin/chemical inflation (polystyrene tied to benzene) is directly analogous to the resin cost pressure MAS flagged for Decorative Architectural. </w:t>
      </w:r>
    </w:p>
    <w:p>
      <w:pPr>
        <w:pStyle w:val="ListBullet"/>
        <w:ind w:left="360" w:hanging="360"/>
      </w:pPr>
      <w:r>
        <w:rPr>
          <w:rFonts w:ascii="Calibri" w:hAnsi="Calibri"/>
          <w:b/>
          <w:color w:val="525866"/>
          <w:sz w:val="22"/>
        </w:rPr>
        <w:t xml:space="preserve">Read-through for MAS: </w:t>
      </w:r>
      <w:r>
        <w:rPr>
          <w:rFonts w:ascii="Calibri" w:hAnsi="Calibri"/>
          <w:color w:val="525866"/>
          <w:sz w:val="22"/>
        </w:rPr>
        <w:t>Confirms that oil/resin cost inflation is a real and quantifiable Q2 headwind for building products companies with paint/coatings exposure. MAS’s Decorative Architectural segment faces the same resin/oil cost dynamics OC described, and MAS management flagged this as a “near-term” (1–2 quarter) headwind on the Q1 call.</w:t>
      </w:r>
    </w:p>
    <w:p>
      <w:pPr>
        <w:pStyle w:val="ListBullet"/>
        <w:ind w:left="360" w:hanging="360"/>
      </w:pPr>
      <w:r>
        <w:rPr>
          <w:rFonts w:ascii="Calibri" w:hAnsi="Calibri"/>
          <w:b/>
          <w:color w:val="525866"/>
          <w:sz w:val="22"/>
        </w:rPr>
        <w:t xml:space="preserve">Tariff refund optionality: </w:t>
      </w:r>
      <w:r>
        <w:rPr>
          <w:rFonts w:ascii="Calibri" w:hAnsi="Calibri"/>
          <w:color w:val="525866"/>
          <w:sz w:val="22"/>
        </w:rPr>
        <w:t xml:space="preserve">OC disclosed potential ~$50M in tariff refunds from a Supreme Court ruling, with $25M already submitted (could benefit Q2 but not in guidance). </w:t>
      </w:r>
    </w:p>
    <w:p>
      <w:pPr>
        <w:pStyle w:val="ListBullet"/>
        <w:ind w:left="360" w:hanging="360"/>
      </w:pPr>
      <w:r>
        <w:rPr>
          <w:rFonts w:ascii="Calibri" w:hAnsi="Calibri"/>
          <w:b/>
          <w:color w:val="525866"/>
          <w:sz w:val="22"/>
        </w:rPr>
        <w:t xml:space="preserve">Read-through for MAS: </w:t>
      </w:r>
      <w:r>
        <w:rPr>
          <w:rFonts w:ascii="Calibri" w:hAnsi="Calibri"/>
          <w:color w:val="525866"/>
          <w:sz w:val="22"/>
        </w:rPr>
        <w:t>MAS management explicitly stated they are “not banking on refunds” and the refund process has “a lot of uncertainty.” OC’s experience confirms the timing uncertainty. Any MAS tariff refund would be upside to guidance, not embedded in it.</w:t>
      </w:r>
    </w:p>
    <w:p>
      <w:pPr>
        <w:pStyle w:val="Heading3"/>
      </w:pPr>
      <w:r>
        <w:rPr>
          <w:rFonts w:ascii="Calibri" w:hAnsi="Calibri"/>
          <w:b/>
          <w:color w:val="3B4259"/>
          <w:sz w:val="24"/>
        </w:rPr>
        <w:t>LP Building Solutions (LPX) — Q1 2026 Earnings (May 6, 2026)</w:t>
      </w:r>
    </w:p>
    <w:p>
      <w:r>
        <w:rPr>
          <w:rFonts w:ascii="Calibri" w:hAnsi="Calibri"/>
          <w:b/>
          <w:color w:val="525866"/>
          <w:sz w:val="22"/>
        </w:rPr>
        <w:t xml:space="preserve">Relevance: </w:t>
      </w:r>
      <w:r>
        <w:rPr>
          <w:rFonts w:ascii="Calibri" w:hAnsi="Calibri"/>
          <w:color w:val="525866"/>
          <w:sz w:val="22"/>
        </w:rPr>
        <w:t>LPX provides a read on broader R&amp;R and new construction demand, consumer sentiment, and oil-based input cost dynamics. Less direct than FBIN/OC but useful for macro context.</w:t>
      </w:r>
    </w:p>
    <w:p>
      <w:pPr>
        <w:pStyle w:val="ListBullet"/>
        <w:ind w:left="360" w:hanging="360"/>
      </w:pPr>
      <w:r>
        <w:rPr>
          <w:rFonts w:ascii="Calibri" w:hAnsi="Calibri"/>
          <w:b/>
          <w:color w:val="525866"/>
          <w:sz w:val="22"/>
        </w:rPr>
        <w:t xml:space="preserve">Housing market and consumer sentiment not recovering: </w:t>
      </w:r>
      <w:r>
        <w:rPr>
          <w:rFonts w:ascii="Calibri" w:hAnsi="Calibri"/>
          <w:color w:val="525866"/>
          <w:sz w:val="22"/>
        </w:rPr>
        <w:t xml:space="preserve">LPX stated “the housing market and general consumer sentiment aren’t showing the hoped-for signs of recovery yet.” High input costs, falling consumer confidence, and increasing interest rates are “magnifying uncertainty about demand in the back half of the year.” </w:t>
      </w:r>
    </w:p>
    <w:p>
      <w:pPr>
        <w:pStyle w:val="ListBullet"/>
        <w:ind w:left="360" w:hanging="360"/>
      </w:pPr>
      <w:r>
        <w:rPr>
          <w:rFonts w:ascii="Calibri" w:hAnsi="Calibri"/>
          <w:b/>
          <w:color w:val="525866"/>
          <w:sz w:val="22"/>
        </w:rPr>
        <w:t xml:space="preserve">Read-through for MAS: </w:t>
      </w:r>
      <w:r>
        <w:rPr>
          <w:rFonts w:ascii="Calibri" w:hAnsi="Calibri"/>
          <w:color w:val="525866"/>
          <w:sz w:val="22"/>
        </w:rPr>
        <w:t>Consistent with MAS’s own cautious macro tone. Existing home sales at multi-decade lows remain the primary headwind for MAS’s DIY paint business. LPX’s commentary reinforces that no near-term housing market recovery should be assumed.</w:t>
      </w:r>
    </w:p>
    <w:p>
      <w:pPr>
        <w:pStyle w:val="ListBullet"/>
        <w:ind w:left="360" w:hanging="360"/>
      </w:pPr>
      <w:r>
        <w:rPr>
          <w:rFonts w:ascii="Calibri" w:hAnsi="Calibri"/>
          <w:b/>
          <w:color w:val="525866"/>
          <w:sz w:val="22"/>
        </w:rPr>
        <w:t xml:space="preserve">Oil-based cost inflation quantified: </w:t>
      </w:r>
      <w:r>
        <w:rPr>
          <w:rFonts w:ascii="Calibri" w:hAnsi="Calibri"/>
          <w:color w:val="525866"/>
          <w:sz w:val="22"/>
        </w:rPr>
        <w:t xml:space="preserve">LPX estimated each $10/barrel increase in crude oil = ~$1.5–2M/quarter in raw material costs (resins, paint, primate) for its North American business, with ~75% hitting Siding (more raw material-intensive). LPX saw minimal Q1 impact but expects costs to trend toward annual run rates over the next two quarters. </w:t>
      </w:r>
    </w:p>
    <w:p>
      <w:pPr>
        <w:pStyle w:val="ListBullet"/>
        <w:ind w:left="360" w:hanging="360"/>
      </w:pPr>
      <w:r>
        <w:rPr>
          <w:rFonts w:ascii="Calibri" w:hAnsi="Calibri"/>
          <w:b/>
          <w:color w:val="525866"/>
          <w:sz w:val="22"/>
        </w:rPr>
        <w:t xml:space="preserve">Read-through for MAS: </w:t>
      </w:r>
      <w:r>
        <w:rPr>
          <w:rFonts w:ascii="Calibri" w:hAnsi="Calibri"/>
          <w:color w:val="525866"/>
          <w:sz w:val="22"/>
        </w:rPr>
        <w:t>Provides a useful framework for sizing MAS’s Decorative Architectural resin/oil cost exposure. MAS’s paint business uses similar oil-derived inputs (resins, solvents), and the “1–2 quarter lag” LPX described aligns with MAS management’s characterization of oil/resin costs as a “near-term” headwind.</w:t>
      </w:r>
    </w:p>
    <w:p>
      <w:pPr>
        <w:pStyle w:val="ListBullet"/>
        <w:ind w:left="360" w:hanging="360"/>
      </w:pPr>
      <w:r>
        <w:rPr>
          <w:rFonts w:ascii="Calibri" w:hAnsi="Calibri"/>
          <w:b/>
          <w:color w:val="525866"/>
          <w:sz w:val="22"/>
        </w:rPr>
        <w:t xml:space="preserve">Vinyl siding price increases benefit engineered wood: </w:t>
      </w:r>
      <w:r>
        <w:rPr>
          <w:rFonts w:ascii="Calibri" w:hAnsi="Calibri"/>
          <w:color w:val="525866"/>
          <w:sz w:val="22"/>
        </w:rPr>
        <w:t xml:space="preserve">Vinyl siding manufacturers announced 6–12% price increases (May) due to oil costs, narrowing the gap with SmartSide. </w:t>
      </w:r>
    </w:p>
    <w:p>
      <w:pPr>
        <w:pStyle w:val="ListBullet"/>
        <w:ind w:left="360" w:hanging="360"/>
      </w:pPr>
      <w:r>
        <w:rPr>
          <w:rFonts w:ascii="Calibri" w:hAnsi="Calibri"/>
          <w:b/>
          <w:color w:val="525866"/>
          <w:sz w:val="22"/>
        </w:rPr>
        <w:t xml:space="preserve">Read-through for MAS: </w:t>
      </w:r>
      <w:r>
        <w:rPr>
          <w:rFonts w:ascii="Calibri" w:hAnsi="Calibri"/>
          <w:color w:val="525866"/>
          <w:sz w:val="22"/>
        </w:rPr>
        <w:t>Indirect positive — if vinyl paint/coatings competitors face similar oil-driven cost pressure, MAS’s Behr paint pricing power may be easier to maintain or expand in H2 2026.</w:t>
      </w:r>
    </w:p>
    <w:p>
      <w:pPr>
        <w:pStyle w:val="Heading3"/>
      </w:pPr>
      <w:r>
        <w:rPr>
          <w:rFonts w:ascii="Calibri" w:hAnsi="Calibri"/>
          <w:b/>
          <w:color w:val="3B4259"/>
          <w:sz w:val="24"/>
        </w:rPr>
        <w:t>Trex Company (TREX) — Q1 2026 Earnings (May 7, 2026)</w:t>
      </w:r>
    </w:p>
    <w:p>
      <w:r>
        <w:rPr>
          <w:rFonts w:ascii="Calibri" w:hAnsi="Calibri"/>
          <w:b/>
          <w:color w:val="525866"/>
          <w:sz w:val="22"/>
        </w:rPr>
        <w:t xml:space="preserve">Relevance: </w:t>
      </w:r>
      <w:r>
        <w:rPr>
          <w:rFonts w:ascii="Calibri" w:hAnsi="Calibri"/>
          <w:color w:val="525866"/>
          <w:sz w:val="22"/>
        </w:rPr>
        <w:t>Trex provides a read on DIY vs. Pro channel dynamics, consumer sentiment bifurcation (lower-end vs. higher-end), and the broader R&amp;R demand environment heading into the peak Q2/Q3 season.</w:t>
      </w:r>
    </w:p>
    <w:p>
      <w:pPr>
        <w:pStyle w:val="ListBullet"/>
        <w:ind w:left="360" w:hanging="360"/>
      </w:pPr>
      <w:r>
        <w:rPr>
          <w:rFonts w:ascii="Calibri" w:hAnsi="Calibri"/>
          <w:b/>
          <w:color w:val="525866"/>
          <w:sz w:val="22"/>
        </w:rPr>
        <w:t xml:space="preserve">DIY demand strong early in Q1, then shifted to Pro: </w:t>
      </w:r>
      <w:r>
        <w:rPr>
          <w:rFonts w:ascii="Calibri" w:hAnsi="Calibri"/>
          <w:color w:val="525866"/>
          <w:sz w:val="22"/>
        </w:rPr>
        <w:t xml:space="preserve">Trex saw “strong home center-driven DIY demand early in the quarter, which shifted over the course of the quarter towards greater strength in higher-end pro contractor-driven products.” January/February were “fairly challenging” but March/April showed a “nice rebound.” </w:t>
      </w:r>
    </w:p>
    <w:p>
      <w:pPr>
        <w:pStyle w:val="ListBullet"/>
        <w:ind w:left="360" w:hanging="360"/>
      </w:pPr>
      <w:r>
        <w:rPr>
          <w:rFonts w:ascii="Calibri" w:hAnsi="Calibri"/>
          <w:b/>
          <w:color w:val="525866"/>
          <w:sz w:val="22"/>
        </w:rPr>
        <w:t xml:space="preserve">Read-through for MAS: </w:t>
      </w:r>
      <w:r>
        <w:rPr>
          <w:rFonts w:ascii="Calibri" w:hAnsi="Calibri"/>
          <w:color w:val="525866"/>
          <w:sz w:val="22"/>
        </w:rPr>
        <w:t>The early-Q1 DIY strength followed by a Pro shift is consistent with MAS’s own Q1 results (DIY paint down low single digits, PRO paint up mid-single digits). The March/April rebound Trex described could be a positive signal for MAS’s Q2 PRO paint trajectory.</w:t>
      </w:r>
    </w:p>
    <w:p>
      <w:pPr>
        <w:pStyle w:val="ListBullet"/>
        <w:ind w:left="360" w:hanging="360"/>
      </w:pPr>
      <w:r>
        <w:rPr>
          <w:rFonts w:ascii="Calibri" w:hAnsi="Calibri"/>
          <w:b/>
          <w:color w:val="525866"/>
          <w:sz w:val="22"/>
        </w:rPr>
        <w:t xml:space="preserve">Lower-end consumer still struggling, higher-end resilient: </w:t>
      </w:r>
      <w:r>
        <w:rPr>
          <w:rFonts w:ascii="Calibri" w:hAnsi="Calibri"/>
          <w:color w:val="525866"/>
          <w:sz w:val="22"/>
        </w:rPr>
        <w:t xml:space="preserve">Trex observed “consumers on the lower end are still struggling” while “outperformance from that middle to higher-end consumer” continues. Contractor backlogs are 6–10 weeks, with contractors feeling “slightly better this year than last year.” </w:t>
      </w:r>
    </w:p>
    <w:p>
      <w:pPr>
        <w:pStyle w:val="ListBullet"/>
        <w:ind w:left="360" w:hanging="360"/>
      </w:pPr>
      <w:r>
        <w:rPr>
          <w:rFonts w:ascii="Calibri" w:hAnsi="Calibri"/>
          <w:b/>
          <w:color w:val="525866"/>
          <w:sz w:val="22"/>
        </w:rPr>
        <w:t xml:space="preserve">Read-through for MAS: </w:t>
      </w:r>
      <w:r>
        <w:rPr>
          <w:rFonts w:ascii="Calibri" w:hAnsi="Calibri"/>
          <w:color w:val="525866"/>
          <w:sz w:val="22"/>
        </w:rPr>
        <w:t>Supports MAS’s luxury plumbing brand strength (Brizo, Axor, Newport Brass) and the ongoing DIY-to-Pro shift in paint. The contractor backlog data is a mild positive for MAS’s PRO paint business heading into Q2.</w:t>
      </w:r>
    </w:p>
    <w:p>
      <w:pPr>
        <w:pStyle w:val="ListBullet"/>
        <w:ind w:left="360" w:hanging="360"/>
      </w:pPr>
      <w:r>
        <w:rPr>
          <w:rFonts w:ascii="Calibri" w:hAnsi="Calibri"/>
          <w:b/>
          <w:color w:val="525866"/>
          <w:sz w:val="22"/>
        </w:rPr>
        <w:t xml:space="preserve">R&amp;R market expected flat to down, but Trex outperforming: </w:t>
      </w:r>
      <w:r>
        <w:rPr>
          <w:rFonts w:ascii="Calibri" w:hAnsi="Calibri"/>
          <w:color w:val="525866"/>
          <w:sz w:val="22"/>
        </w:rPr>
        <w:t xml:space="preserve">Trex maintained its full-year guidance based on a “flat to down” R&amp;R market assumption, with the back half expected to be better than the first half. Home center business growing low to mid-single digits. </w:t>
      </w:r>
    </w:p>
    <w:p>
      <w:pPr>
        <w:pStyle w:val="ListBullet"/>
        <w:ind w:left="360" w:hanging="360"/>
      </w:pPr>
      <w:r>
        <w:rPr>
          <w:rFonts w:ascii="Calibri" w:hAnsi="Calibri"/>
          <w:b/>
          <w:color w:val="525866"/>
          <w:sz w:val="22"/>
        </w:rPr>
        <w:t xml:space="preserve">Read-through for MAS: </w:t>
      </w:r>
      <w:r>
        <w:rPr>
          <w:rFonts w:ascii="Calibri" w:hAnsi="Calibri"/>
          <w:color w:val="525866"/>
          <w:sz w:val="22"/>
        </w:rPr>
        <w:t>The “flat to down” R&amp;R market assumption is consistent with MAS’s own cautious volume outlook. The home center low-to-mid-single-digit growth is a mild positive for MAS’s Behr paint retail channel.</w:t>
      </w:r>
    </w:p>
    <w:p>
      <w:pPr>
        <w:pStyle w:val="Heading3"/>
      </w:pPr>
      <w:r>
        <w:rPr>
          <w:rFonts w:ascii="Calibri" w:hAnsi="Calibri"/>
          <w:b/>
          <w:color w:val="3B4259"/>
          <w:sz w:val="24"/>
        </w:rPr>
        <w:t>Builders FirstSource (BLDR) — Q1 2026 Earnings (April 30, 2026)</w:t>
      </w:r>
    </w:p>
    <w:p>
      <w:r>
        <w:rPr>
          <w:rFonts w:ascii="Calibri" w:hAnsi="Calibri"/>
          <w:b/>
          <w:color w:val="525866"/>
          <w:sz w:val="22"/>
        </w:rPr>
        <w:t xml:space="preserve">Relevance: </w:t>
      </w:r>
      <w:r>
        <w:rPr>
          <w:rFonts w:ascii="Calibri" w:hAnsi="Calibri"/>
          <w:color w:val="525866"/>
          <w:sz w:val="22"/>
        </w:rPr>
        <w:t>BLDR is the largest distributor of building products to homebuilders and provides the most direct read on new residential construction demand, which affects MAS’s Plumbing wholesale channel.</w:t>
      </w:r>
    </w:p>
    <w:p>
      <w:pPr>
        <w:pStyle w:val="ListBullet"/>
        <w:ind w:left="360" w:hanging="360"/>
      </w:pPr>
      <w:r>
        <w:rPr>
          <w:rFonts w:ascii="Calibri" w:hAnsi="Calibri"/>
          <w:b/>
          <w:color w:val="525866"/>
          <w:sz w:val="22"/>
        </w:rPr>
        <w:t xml:space="preserve">New construction demand weak, spring selling season undermined: </w:t>
      </w:r>
      <w:r>
        <w:rPr>
          <w:rFonts w:ascii="Calibri" w:hAnsi="Calibri"/>
          <w:color w:val="525866"/>
          <w:sz w:val="22"/>
        </w:rPr>
        <w:t xml:space="preserve">BLDR reported Q1 net sales down 10% to $3.3B, with single-family core organic sales down 11% due to lower starts and reduced value per start. The Middle East conflict and associated uncertainty “undermined the spring selling season.” Single-family and multifamily starts expected down 2.5% for FY 2026. </w:t>
      </w:r>
    </w:p>
    <w:p>
      <w:pPr>
        <w:pStyle w:val="ListBullet"/>
        <w:ind w:left="360" w:hanging="360"/>
      </w:pPr>
      <w:r>
        <w:rPr>
          <w:rFonts w:ascii="Calibri" w:hAnsi="Calibri"/>
          <w:b/>
          <w:color w:val="525866"/>
          <w:sz w:val="22"/>
        </w:rPr>
        <w:t xml:space="preserve">Read-through for MAS: </w:t>
      </w:r>
      <w:r>
        <w:rPr>
          <w:rFonts w:ascii="Calibri" w:hAnsi="Calibri"/>
          <w:color w:val="525866"/>
          <w:sz w:val="22"/>
        </w:rPr>
        <w:t>Negative for MAS’s Plumbing wholesale channel, which is exposed to new construction. However, MAS’s Plumbing business is predominantly R&amp;R (not new construction), and Delta Faucet’s Q1 outperformance across all channels suggests share gains are offsetting the new construction headwind.</w:t>
      </w:r>
    </w:p>
    <w:p>
      <w:pPr>
        <w:pStyle w:val="ListBullet"/>
        <w:ind w:left="360" w:hanging="360"/>
      </w:pPr>
      <w:r>
        <w:rPr>
          <w:rFonts w:ascii="Calibri" w:hAnsi="Calibri"/>
          <w:b/>
          <w:color w:val="525866"/>
          <w:sz w:val="22"/>
        </w:rPr>
        <w:t xml:space="preserve">R&amp;R down 1%, consumer uncertainty persists: </w:t>
      </w:r>
      <w:r>
        <w:rPr>
          <w:rFonts w:ascii="Calibri" w:hAnsi="Calibri"/>
          <w:color w:val="525866"/>
          <w:sz w:val="22"/>
        </w:rPr>
        <w:t xml:space="preserve">BLDR’s R&amp;R core organic sales declined 1% in Q1, “consistent with expectations given muted activity levels and consumer uncertainty.” Full-year R&amp;R expected down 1% vs. 2025. </w:t>
      </w:r>
    </w:p>
    <w:p>
      <w:pPr>
        <w:pStyle w:val="ListBullet"/>
        <w:ind w:left="360" w:hanging="360"/>
      </w:pPr>
      <w:r>
        <w:rPr>
          <w:rFonts w:ascii="Calibri" w:hAnsi="Calibri"/>
          <w:b/>
          <w:color w:val="525866"/>
          <w:sz w:val="22"/>
        </w:rPr>
        <w:t xml:space="preserve">Read-through for MAS: </w:t>
      </w:r>
      <w:r>
        <w:rPr>
          <w:rFonts w:ascii="Calibri" w:hAnsi="Calibri"/>
          <w:color w:val="525866"/>
          <w:sz w:val="22"/>
        </w:rPr>
        <w:t>A 1% R&amp;R decline is a mild headwind for MAS’s volume assumptions, but MAS’s pricing actions (mid-single-digit Plumbing pricing) and share gains should more than offset this at the revenue line.</w:t>
      </w:r>
    </w:p>
    <w:p>
      <w:pPr>
        <w:pStyle w:val="Heading3"/>
      </w:pPr>
      <w:r>
        <w:rPr>
          <w:rFonts w:ascii="Calibri" w:hAnsi="Calibri"/>
          <w:b/>
          <w:color w:val="3B4259"/>
          <w:sz w:val="24"/>
        </w:rPr>
        <w:t>Armstrong World Industries (AWI) — Q2 2026 Earnings (July 28, 2026)</w:t>
      </w:r>
    </w:p>
    <w:p>
      <w:r>
        <w:rPr>
          <w:rFonts w:ascii="Calibri" w:hAnsi="Calibri"/>
          <w:b/>
          <w:color w:val="525866"/>
          <w:sz w:val="22"/>
        </w:rPr>
        <w:t xml:space="preserve">Relevance: </w:t>
      </w:r>
      <w:r>
        <w:rPr>
          <w:rFonts w:ascii="Calibri" w:hAnsi="Calibri"/>
          <w:color w:val="525866"/>
          <w:sz w:val="22"/>
        </w:rPr>
        <w:t>AWI reported Q2 2026 results today (July 28). While AWI is primarily a commercial construction company (ceiling tiles, architectural specialties), its commentary on the broader building products demand environment and pricing is directionally relevant.</w:t>
      </w:r>
    </w:p>
    <w:p>
      <w:pPr>
        <w:pStyle w:val="ListBullet"/>
        <w:ind w:left="360" w:hanging="360"/>
      </w:pPr>
      <w:r>
        <w:rPr>
          <w:rFonts w:ascii="Calibri" w:hAnsi="Calibri"/>
          <w:b/>
          <w:color w:val="525866"/>
          <w:sz w:val="22"/>
        </w:rPr>
        <w:t xml:space="preserve">Commercial construction resilient despite muted market: </w:t>
      </w:r>
      <w:r>
        <w:rPr>
          <w:rFonts w:ascii="Calibri" w:hAnsi="Calibri"/>
          <w:color w:val="525866"/>
          <w:sz w:val="22"/>
        </w:rPr>
        <w:t xml:space="preserve">AWI reported record Q2 net sales (+11% YoY) and adjusted EBITDA (+8%), with Mineral Fiber volume up 2% and AUV up 6%. Management noted “underlying market conditions have improved slightly from 2025, though remain muted” with pockets of strength in transportation, data centers, and healthcare. </w:t>
      </w:r>
    </w:p>
    <w:p>
      <w:pPr>
        <w:pStyle w:val="ListBullet"/>
        <w:ind w:left="360" w:hanging="360"/>
      </w:pPr>
      <w:r>
        <w:rPr>
          <w:rFonts w:ascii="Calibri" w:hAnsi="Calibri"/>
          <w:b/>
          <w:color w:val="525866"/>
          <w:sz w:val="22"/>
        </w:rPr>
        <w:t xml:space="preserve">Read-through for MAS: </w:t>
      </w:r>
      <w:r>
        <w:rPr>
          <w:rFonts w:ascii="Calibri" w:hAnsi="Calibri"/>
          <w:color w:val="525866"/>
          <w:sz w:val="22"/>
        </w:rPr>
        <w:t>Limited direct read-through given AWI’s commercial focus vs. MAS’s residential R&amp;R mix. However, AWI’s ability to drive pricing (+6% AUV) and volume growth simultaneously in a muted market is a positive signal for the broader building products pricing environment.</w:t>
      </w:r>
    </w:p>
    <w:p>
      <w:pPr>
        <w:pStyle w:val="ListBullet"/>
        <w:ind w:left="360" w:hanging="360"/>
      </w:pPr>
      <w:r>
        <w:rPr>
          <w:rFonts w:ascii="Calibri" w:hAnsi="Calibri"/>
          <w:b/>
          <w:color w:val="525866"/>
          <w:sz w:val="22"/>
        </w:rPr>
        <w:t xml:space="preserve">Raised full-year guidance: </w:t>
      </w:r>
      <w:r>
        <w:rPr>
          <w:rFonts w:ascii="Calibri" w:hAnsi="Calibri"/>
          <w:color w:val="525866"/>
          <w:sz w:val="22"/>
        </w:rPr>
        <w:t xml:space="preserve">AWI raised FY 2026 guidance across all metrics (net sales growth 9–11%, adj. EBITDA growth 9–12%, adj. EPS growth 12–15%). </w:t>
      </w:r>
    </w:p>
    <w:p>
      <w:pPr>
        <w:pStyle w:val="ListBullet"/>
        <w:ind w:left="360" w:hanging="360"/>
      </w:pPr>
      <w:r>
        <w:rPr>
          <w:rFonts w:ascii="Calibri" w:hAnsi="Calibri"/>
          <w:b/>
          <w:color w:val="525866"/>
          <w:sz w:val="22"/>
        </w:rPr>
        <w:t xml:space="preserve">Read-through for MAS: </w:t>
      </w:r>
      <w:r>
        <w:rPr>
          <w:rFonts w:ascii="Calibri" w:hAnsi="Calibri"/>
          <w:color w:val="525866"/>
          <w:sz w:val="22"/>
        </w:rPr>
        <w:t>AWI’s guidance raise is a positive sentiment signal for the building products sector broadly, but the commercial/residential mix difference limits direct applicability to MAS’s Q2 setup.</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Peer</w:t>
            </w:r>
          </w:p>
        </w:tc>
        <w:tc>
          <w:tcPr>
            <w:tcW w:type="dxa" w:w="2160"/>
          </w:tcPr>
          <w:p>
            <w:r>
              <w:rPr>
                <w:rFonts w:ascii="Calibri" w:hAnsi="Calibri"/>
                <w:b/>
                <w:sz w:val="22"/>
              </w:rPr>
              <w:t>Report Date</w:t>
            </w:r>
          </w:p>
        </w:tc>
        <w:tc>
          <w:tcPr>
            <w:tcW w:type="dxa" w:w="2160"/>
          </w:tcPr>
          <w:p>
            <w:r>
              <w:rPr>
                <w:rFonts w:ascii="Calibri" w:hAnsi="Calibri"/>
                <w:b/>
                <w:sz w:val="22"/>
              </w:rPr>
              <w:t>Key Signal for MAS</w:t>
            </w:r>
          </w:p>
        </w:tc>
        <w:tc>
          <w:tcPr>
            <w:tcW w:type="dxa" w:w="2160"/>
          </w:tcPr>
          <w:p>
            <w:r>
              <w:rPr>
                <w:rFonts w:ascii="Calibri" w:hAnsi="Calibri"/>
                <w:b/>
                <w:sz w:val="22"/>
              </w:rPr>
              <w:t>Direction</w:t>
            </w:r>
          </w:p>
        </w:tc>
      </w:tr>
      <w:tr>
        <w:tc>
          <w:tcPr>
            <w:tcW w:type="dxa" w:w="2160"/>
          </w:tcPr>
          <w:p>
            <w:r>
              <w:rPr>
                <w:rFonts w:ascii="Calibri" w:hAnsi="Calibri"/>
                <w:sz w:val="22"/>
              </w:rPr>
              <w:t>FBIN (Fortune Brands)</w:t>
            </w:r>
          </w:p>
        </w:tc>
        <w:tc>
          <w:tcPr>
            <w:tcW w:type="dxa" w:w="2160"/>
          </w:tcPr>
          <w:p>
            <w:r>
              <w:rPr>
                <w:rFonts w:ascii="Calibri" w:hAnsi="Calibri"/>
                <w:sz w:val="22"/>
              </w:rPr>
              <w:t>May 7, 2026</w:t>
            </w:r>
          </w:p>
        </w:tc>
        <w:tc>
          <w:tcPr>
            <w:tcW w:type="dxa" w:w="2160"/>
          </w:tcPr>
          <w:p>
            <w:r>
              <w:rPr>
                <w:rFonts w:ascii="Calibri" w:hAnsi="Calibri"/>
                <w:sz w:val="22"/>
              </w:rPr>
              <w:t>No plumbing channel restocking; H1 price/cost headwind from tariff carryover + commodity inflation; luxury plumbing resilient</w:t>
            </w:r>
          </w:p>
        </w:tc>
        <w:tc>
          <w:tcPr>
            <w:tcW w:type="dxa" w:w="2160"/>
          </w:tcPr>
          <w:p>
            <w:r>
              <w:rPr>
                <w:rFonts w:ascii="Calibri" w:hAnsi="Calibri"/>
                <w:b/>
                <w:sz w:val="22"/>
              </w:rPr>
              <w:t>Mixed</w:t>
            </w:r>
          </w:p>
        </w:tc>
      </w:tr>
      <w:tr>
        <w:tc>
          <w:tcPr>
            <w:tcW w:type="dxa" w:w="2160"/>
          </w:tcPr>
          <w:p>
            <w:r>
              <w:rPr>
                <w:rFonts w:ascii="Calibri" w:hAnsi="Calibri"/>
                <w:sz w:val="22"/>
              </w:rPr>
              <w:t>OC (Owens Corning)</w:t>
            </w:r>
          </w:p>
        </w:tc>
        <w:tc>
          <w:tcPr>
            <w:tcW w:type="dxa" w:w="2160"/>
          </w:tcPr>
          <w:p>
            <w:r>
              <w:rPr>
                <w:rFonts w:ascii="Calibri" w:hAnsi="Calibri"/>
                <w:sz w:val="22"/>
              </w:rPr>
              <w:t>May 6, 2026</w:t>
            </w:r>
          </w:p>
        </w:tc>
        <w:tc>
          <w:tcPr>
            <w:tcW w:type="dxa" w:w="2160"/>
          </w:tcPr>
          <w:p>
            <w:r>
              <w:rPr>
                <w:rFonts w:ascii="Calibri" w:hAnsi="Calibri"/>
                <w:sz w:val="22"/>
              </w:rPr>
              <w:t>Discretionary R&amp;R under pressure in Q2; ~$60M oil/resin inflation headwind in Q2; tariff refunds uncertain</w:t>
            </w:r>
          </w:p>
        </w:tc>
        <w:tc>
          <w:tcPr>
            <w:tcW w:type="dxa" w:w="2160"/>
          </w:tcPr>
          <w:p>
            <w:r>
              <w:rPr>
                <w:rFonts w:ascii="Calibri" w:hAnsi="Calibri"/>
                <w:b/>
                <w:color w:val="E5484D"/>
                <w:sz w:val="22"/>
              </w:rPr>
              <w:t>Negative</w:t>
            </w:r>
          </w:p>
        </w:tc>
      </w:tr>
      <w:tr>
        <w:tc>
          <w:tcPr>
            <w:tcW w:type="dxa" w:w="2160"/>
          </w:tcPr>
          <w:p>
            <w:r>
              <w:rPr>
                <w:rFonts w:ascii="Calibri" w:hAnsi="Calibri"/>
                <w:sz w:val="22"/>
              </w:rPr>
              <w:t>LPX (LP Building Solutions)</w:t>
            </w:r>
          </w:p>
        </w:tc>
        <w:tc>
          <w:tcPr>
            <w:tcW w:type="dxa" w:w="2160"/>
          </w:tcPr>
          <w:p>
            <w:r>
              <w:rPr>
                <w:rFonts w:ascii="Calibri" w:hAnsi="Calibri"/>
                <w:sz w:val="22"/>
              </w:rPr>
              <w:t>May 6, 2026</w:t>
            </w:r>
          </w:p>
        </w:tc>
        <w:tc>
          <w:tcPr>
            <w:tcW w:type="dxa" w:w="2160"/>
          </w:tcPr>
          <w:p>
            <w:r>
              <w:rPr>
                <w:rFonts w:ascii="Calibri" w:hAnsi="Calibri"/>
                <w:sz w:val="22"/>
              </w:rPr>
              <w:t>Housing/consumer sentiment not recovering; oil-based cost inflation building over next 1–2 quarters</w:t>
            </w:r>
          </w:p>
        </w:tc>
        <w:tc>
          <w:tcPr>
            <w:tcW w:type="dxa" w:w="2160"/>
          </w:tcPr>
          <w:p>
            <w:r>
              <w:rPr>
                <w:rFonts w:ascii="Calibri" w:hAnsi="Calibri"/>
                <w:b/>
                <w:color w:val="E5484D"/>
                <w:sz w:val="22"/>
              </w:rPr>
              <w:t>Negative</w:t>
            </w:r>
          </w:p>
        </w:tc>
      </w:tr>
      <w:tr>
        <w:tc>
          <w:tcPr>
            <w:tcW w:type="dxa" w:w="2160"/>
          </w:tcPr>
          <w:p>
            <w:r>
              <w:rPr>
                <w:rFonts w:ascii="Calibri" w:hAnsi="Calibri"/>
                <w:sz w:val="22"/>
              </w:rPr>
              <w:t>TREX (Trex Company)</w:t>
            </w:r>
          </w:p>
        </w:tc>
        <w:tc>
          <w:tcPr>
            <w:tcW w:type="dxa" w:w="2160"/>
          </w:tcPr>
          <w:p>
            <w:r>
              <w:rPr>
                <w:rFonts w:ascii="Calibri" w:hAnsi="Calibri"/>
                <w:sz w:val="22"/>
              </w:rPr>
              <w:t>May 7, 2026</w:t>
            </w:r>
          </w:p>
        </w:tc>
        <w:tc>
          <w:tcPr>
            <w:tcW w:type="dxa" w:w="2160"/>
          </w:tcPr>
          <w:p>
            <w:r>
              <w:rPr>
                <w:rFonts w:ascii="Calibri" w:hAnsi="Calibri"/>
                <w:sz w:val="22"/>
              </w:rPr>
              <w:t>March/April demand rebound; Pro channel stronger than DIY; higher-end consumer resilient; R&amp;R flat to down</w:t>
            </w:r>
          </w:p>
        </w:tc>
        <w:tc>
          <w:tcPr>
            <w:tcW w:type="dxa" w:w="2160"/>
          </w:tcPr>
          <w:p>
            <w:r>
              <w:rPr>
                <w:rFonts w:ascii="Calibri" w:hAnsi="Calibri"/>
                <w:b/>
                <w:sz w:val="22"/>
              </w:rPr>
              <w:t>Mixed</w:t>
            </w:r>
          </w:p>
        </w:tc>
      </w:tr>
      <w:tr>
        <w:tc>
          <w:tcPr>
            <w:tcW w:type="dxa" w:w="2160"/>
          </w:tcPr>
          <w:p>
            <w:r>
              <w:rPr>
                <w:rFonts w:ascii="Calibri" w:hAnsi="Calibri"/>
                <w:sz w:val="22"/>
              </w:rPr>
              <w:t>BLDR (Builders FirstSource)</w:t>
            </w:r>
          </w:p>
        </w:tc>
        <w:tc>
          <w:tcPr>
            <w:tcW w:type="dxa" w:w="2160"/>
          </w:tcPr>
          <w:p>
            <w:r>
              <w:rPr>
                <w:rFonts w:ascii="Calibri" w:hAnsi="Calibri"/>
                <w:sz w:val="22"/>
              </w:rPr>
              <w:t>Apr 30, 2026</w:t>
            </w:r>
          </w:p>
        </w:tc>
        <w:tc>
          <w:tcPr>
            <w:tcW w:type="dxa" w:w="2160"/>
          </w:tcPr>
          <w:p>
            <w:r>
              <w:rPr>
                <w:rFonts w:ascii="Calibri" w:hAnsi="Calibri"/>
                <w:sz w:val="22"/>
              </w:rPr>
              <w:t>New construction starts down 2.5% FY; R&amp;R down 1%; spring selling season undermined by macro uncertainty</w:t>
            </w:r>
          </w:p>
        </w:tc>
        <w:tc>
          <w:tcPr>
            <w:tcW w:type="dxa" w:w="2160"/>
          </w:tcPr>
          <w:p>
            <w:r>
              <w:rPr>
                <w:rFonts w:ascii="Calibri" w:hAnsi="Calibri"/>
                <w:b/>
                <w:color w:val="E5484D"/>
                <w:sz w:val="22"/>
              </w:rPr>
              <w:t>Negative</w:t>
            </w:r>
          </w:p>
        </w:tc>
      </w:tr>
      <w:tr>
        <w:tc>
          <w:tcPr>
            <w:tcW w:type="dxa" w:w="2160"/>
          </w:tcPr>
          <w:p>
            <w:r>
              <w:rPr>
                <w:rFonts w:ascii="Calibri" w:hAnsi="Calibri"/>
                <w:sz w:val="22"/>
              </w:rPr>
              <w:t>AWI (Armstrong World)</w:t>
            </w:r>
          </w:p>
        </w:tc>
        <w:tc>
          <w:tcPr>
            <w:tcW w:type="dxa" w:w="2160"/>
          </w:tcPr>
          <w:p>
            <w:r>
              <w:rPr>
                <w:rFonts w:ascii="Calibri" w:hAnsi="Calibri"/>
                <w:sz w:val="22"/>
              </w:rPr>
              <w:t>Jul 28, 2026</w:t>
            </w:r>
          </w:p>
        </w:tc>
        <w:tc>
          <w:tcPr>
            <w:tcW w:type="dxa" w:w="2160"/>
          </w:tcPr>
          <w:p>
            <w:r>
              <w:rPr>
                <w:rFonts w:ascii="Calibri" w:hAnsi="Calibri"/>
                <w:sz w:val="22"/>
              </w:rPr>
              <w:t>Record Q2 results; raised FY guidance; commercial construction resilient (limited direct read-through for MAS)</w:t>
            </w:r>
          </w:p>
        </w:tc>
        <w:tc>
          <w:tcPr>
            <w:tcW w:type="dxa" w:w="2160"/>
          </w:tcPr>
          <w:p>
            <w:r>
              <w:rPr>
                <w:rFonts w:ascii="Calibri" w:hAnsi="Calibri"/>
                <w:b/>
                <w:color w:val="30A46C"/>
                <w:sz w:val="22"/>
              </w:rPr>
              <w:t>Positive (limited relevance)</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May 13 Investor Day, which provided long-term financial targets (18%+ operating margin by 2028, ~10% EPS CAGR) and reinforced management’s confidence in the strategic plan — but the stock sold off sharply on the day, suggesting the market viewed the targets as insufficiently ambitious or the near-term commodity cost headwind as underappreciated.</w:t>
      </w:r>
    </w:p>
    <w:p>
      <w:pPr>
        <w:pStyle w:val="ListBullet"/>
        <w:ind w:left="360" w:hanging="360"/>
      </w:pPr>
      <w:r>
        <w:rPr>
          <w:rFonts w:ascii="Calibri" w:hAnsi="Calibri"/>
          <w:b/>
          <w:color w:val="525866"/>
          <w:sz w:val="22"/>
        </w:rPr>
        <w:t xml:space="preserve">May 13, 2026 — Investor Day at NYSE: </w:t>
      </w:r>
      <w:r>
        <w:rPr>
          <w:rFonts w:ascii="Calibri" w:hAnsi="Calibri"/>
          <w:color w:val="525866"/>
          <w:sz w:val="22"/>
        </w:rPr>
        <w:t xml:space="preserve">Masco held its first Investor Day under CEO Jon Nudi, providing long-term targets: organic sales growth of 3–4% annually, operating margin of at least 18% by 2028 (vs. 16.8% in 2025), ~10% adj. EPS CAGR, and net sales of $8B+ by 2028. Capital deployment of ~$3.3B over 3 years. </w:t>
      </w:r>
      <w:r>
        <w:rPr>
          <w:rFonts w:ascii="Calibri" w:hAnsi="Calibri"/>
          <w:b/>
          <w:color w:val="525866"/>
          <w:sz w:val="22"/>
        </w:rPr>
        <w:t xml:space="preserve">Implication: </w:t>
      </w:r>
      <w:r>
        <w:rPr>
          <w:rFonts w:ascii="Calibri" w:hAnsi="Calibri"/>
          <w:color w:val="525866"/>
          <w:sz w:val="22"/>
        </w:rPr>
        <w:t>Targets are achievable but not aggressive; the stock sold off ~4% on the day, suggesting the market expected more. The 18% margin target by 2028 implies ~120 bps of expansion from 2025, which is consistent with prior messaging but not a step-change.</w:t>
      </w:r>
    </w:p>
    <w:p>
      <w:pPr>
        <w:pStyle w:val="ListBullet"/>
        <w:ind w:left="360" w:hanging="360"/>
      </w:pPr>
      <w:r>
        <w:rPr>
          <w:rFonts w:ascii="Calibri" w:hAnsi="Calibri"/>
          <w:b/>
          <w:color w:val="525866"/>
          <w:sz w:val="22"/>
        </w:rPr>
        <w:t xml:space="preserve">May 14, 2026 — Shareholder Vote (8-K): </w:t>
      </w:r>
      <w:r>
        <w:rPr>
          <w:rFonts w:ascii="Calibri" w:hAnsi="Calibri"/>
          <w:color w:val="525866"/>
          <w:sz w:val="22"/>
        </w:rPr>
        <w:t xml:space="preserve">Shareholders approved a special meeting right and officer liability limits at the annual meeting. </w:t>
      </w:r>
      <w:r>
        <w:rPr>
          <w:rFonts w:ascii="Calibri" w:hAnsi="Calibri"/>
          <w:b/>
          <w:color w:val="525866"/>
          <w:sz w:val="22"/>
        </w:rPr>
        <w:t xml:space="preserve">Implication: </w:t>
      </w:r>
      <w:r>
        <w:rPr>
          <w:rFonts w:ascii="Calibri" w:hAnsi="Calibri"/>
          <w:color w:val="525866"/>
          <w:sz w:val="22"/>
        </w:rPr>
        <w:t>Routine governance; no material impact on earnings setup.</w:t>
      </w:r>
    </w:p>
    <w:p>
      <w:pPr>
        <w:pStyle w:val="ListBullet"/>
        <w:ind w:left="360" w:hanging="360"/>
      </w:pPr>
      <w:r>
        <w:rPr>
          <w:rFonts w:ascii="Calibri" w:hAnsi="Calibri"/>
          <w:b/>
          <w:color w:val="525866"/>
          <w:sz w:val="22"/>
        </w:rPr>
        <w:t xml:space="preserve">April 22, 2026 — Q1 2026 Earnings Beat: </w:t>
      </w:r>
      <w:r>
        <w:rPr>
          <w:rFonts w:ascii="Calibri" w:hAnsi="Calibri"/>
          <w:color w:val="525866"/>
          <w:sz w:val="22"/>
        </w:rPr>
        <w:t xml:space="preserve">MAS reported Q1 net sales of $1.918B (+4.6% vs. consensus) and adj. operating EPS of $1.04 (+18.2% vs. consensus). Stock surged sharply on the day. Full-year EPS guidance maintained at $4.10–$4.30; sales guidance upgraded to up low single digits. Capital return target raised to at least $800M. </w:t>
      </w:r>
      <w:r>
        <w:rPr>
          <w:rFonts w:ascii="Calibri" w:hAnsi="Calibri"/>
          <w:b/>
          <w:color w:val="525866"/>
          <w:sz w:val="22"/>
        </w:rPr>
        <w:t xml:space="preserve">Implication: </w:t>
      </w:r>
      <w:r>
        <w:rPr>
          <w:rFonts w:ascii="Calibri" w:hAnsi="Calibri"/>
          <w:color w:val="525866"/>
          <w:sz w:val="22"/>
        </w:rPr>
        <w:t>The Q1 beat set a high bar for Q2 — the Street now expects MAS to execute against a tough Q2 2025 comp (20%+ operating margin) while absorbing commodity cost headwinds.</w:t>
      </w:r>
    </w:p>
    <w:p>
      <w:pPr>
        <w:pStyle w:val="ListBullet"/>
        <w:ind w:left="360" w:hanging="360"/>
      </w:pPr>
      <w:r>
        <w:rPr>
          <w:rFonts w:ascii="Calibri" w:hAnsi="Calibri"/>
          <w:b/>
          <w:color w:val="525866"/>
          <w:sz w:val="22"/>
        </w:rPr>
        <w:t xml:space="preserve">April 22–April 23, 2026 — Analyst Price Target Revisions Post-Q1: </w:t>
      </w:r>
      <w:r>
        <w:rPr>
          <w:rFonts w:ascii="Calibri" w:hAnsi="Calibri"/>
          <w:color w:val="525866"/>
          <w:sz w:val="22"/>
        </w:rPr>
        <w:t xml:space="preserve">UBS raised PT to $97 (Buy); Truist raised to $90 (Buy); Wells Fargo raised to $82 (Overweight); Robert W. Baird raised to $80 (Neutral); JPMorgan raised to $78 (Neutral). BMO cut to $75 (Market Perform) ahead of earnings. </w:t>
      </w:r>
      <w:r>
        <w:rPr>
          <w:rFonts w:ascii="Calibri" w:hAnsi="Calibri"/>
          <w:b/>
          <w:color w:val="525866"/>
          <w:sz w:val="22"/>
        </w:rPr>
        <w:t xml:space="preserve">Implication: </w:t>
      </w:r>
      <w:r>
        <w:rPr>
          <w:rFonts w:ascii="Calibri" w:hAnsi="Calibri"/>
          <w:color w:val="525866"/>
          <w:sz w:val="22"/>
        </w:rPr>
        <w:t>Broad PT upgrades post-Q1 beat, but consensus remains “Hold” with average target ~$80 — the stock at $81.61 is now trading above the Street average, limiting near-term upside.</w:t>
      </w:r>
    </w:p>
    <w:p>
      <w:pPr>
        <w:pStyle w:val="ListBullet"/>
        <w:ind w:left="360" w:hanging="360"/>
      </w:pPr>
      <w:r>
        <w:rPr>
          <w:rFonts w:ascii="Calibri" w:hAnsi="Calibri"/>
          <w:b/>
          <w:color w:val="525866"/>
          <w:sz w:val="22"/>
        </w:rPr>
        <w:t xml:space="preserve">July 14, 2026 — Barclays PT Raise: </w:t>
      </w:r>
      <w:r>
        <w:rPr>
          <w:rFonts w:ascii="Calibri" w:hAnsi="Calibri"/>
          <w:color w:val="525866"/>
          <w:sz w:val="22"/>
        </w:rPr>
        <w:t xml:space="preserve">Barclays raised its MAS price target from $78 to $82 (Equal Weight). </w:t>
      </w:r>
      <w:r>
        <w:rPr>
          <w:rFonts w:ascii="Calibri" w:hAnsi="Calibri"/>
          <w:b/>
          <w:color w:val="525866"/>
          <w:sz w:val="22"/>
        </w:rPr>
        <w:t xml:space="preserve">Implication: </w:t>
      </w:r>
      <w:r>
        <w:rPr>
          <w:rFonts w:ascii="Calibri" w:hAnsi="Calibri"/>
          <w:color w:val="525866"/>
          <w:sz w:val="22"/>
        </w:rPr>
        <w:t>Most recent analyst action; the raise to $82 is essentially in line with the current stock price, suggesting Barclays sees limited upside from current levels.</w:t>
      </w:r>
    </w:p>
    <w:p>
      <w:pPr>
        <w:pStyle w:val="ListBullet"/>
        <w:ind w:left="360" w:hanging="360"/>
      </w:pPr>
      <w:r>
        <w:rPr>
          <w:rFonts w:ascii="Calibri" w:hAnsi="Calibri"/>
          <w:b/>
          <w:color w:val="525866"/>
          <w:sz w:val="22"/>
        </w:rPr>
        <w:t xml:space="preserve">June 23, 2026 — Weiss Ratings Upgrade: </w:t>
      </w:r>
      <w:r>
        <w:rPr>
          <w:rFonts w:ascii="Calibri" w:hAnsi="Calibri"/>
          <w:color w:val="525866"/>
          <w:sz w:val="22"/>
        </w:rPr>
        <w:t xml:space="preserve">Weiss Ratings upgraded MAS from Hold (C+) to Buy (B-). </w:t>
      </w:r>
      <w:r>
        <w:rPr>
          <w:rFonts w:ascii="Calibri" w:hAnsi="Calibri"/>
          <w:b/>
          <w:color w:val="525866"/>
          <w:sz w:val="22"/>
        </w:rPr>
        <w:t xml:space="preserve">Implication: </w:t>
      </w:r>
      <w:r>
        <w:rPr>
          <w:rFonts w:ascii="Calibri" w:hAnsi="Calibri"/>
          <w:color w:val="525866"/>
          <w:sz w:val="22"/>
        </w:rPr>
        <w:t>Incremental positive sentiment signal as the stock recovered from its May trough.</w:t>
      </w:r>
    </w:p>
    <w:p>
      <w:pPr>
        <w:pStyle w:val="ListBullet"/>
        <w:ind w:left="360" w:hanging="360"/>
      </w:pPr>
      <w:r>
        <w:rPr>
          <w:rFonts w:ascii="Calibri" w:hAnsi="Calibri"/>
          <w:b/>
          <w:color w:val="525866"/>
          <w:sz w:val="22"/>
        </w:rPr>
        <w:t xml:space="preserve">June 29, 2026 — Q2 2026 Earnings Date Announcement: </w:t>
      </w:r>
      <w:r>
        <w:rPr>
          <w:rFonts w:ascii="Calibri" w:hAnsi="Calibri"/>
          <w:color w:val="525866"/>
          <w:sz w:val="22"/>
        </w:rPr>
        <w:t xml:space="preserve">Masco announced the date for its Q2 2026 earnings release and conference call. Exact date not specified in the press release but expected in late July/early August 2026. </w:t>
      </w:r>
      <w:r>
        <w:rPr>
          <w:rFonts w:ascii="Calibri" w:hAnsi="Calibri"/>
          <w:b/>
          <w:color w:val="525866"/>
          <w:sz w:val="22"/>
        </w:rPr>
        <w:t xml:space="preserve">Implication: </w:t>
      </w:r>
      <w:r>
        <w:rPr>
          <w:rFonts w:ascii="Calibri" w:hAnsi="Calibri"/>
          <w:color w:val="525866"/>
          <w:sz w:val="22"/>
        </w:rPr>
        <w:t>Routine announcement; confirms Q2 reporting is imminent.</w:t>
      </w:r>
    </w:p>
    <w:p>
      <w:pPr>
        <w:pStyle w:val="ListBullet"/>
        <w:ind w:left="360" w:hanging="360"/>
      </w:pPr>
      <w:r>
        <w:rPr>
          <w:rFonts w:ascii="Calibri" w:hAnsi="Calibri"/>
          <w:b/>
          <w:color w:val="525866"/>
          <w:sz w:val="22"/>
        </w:rPr>
        <w:t xml:space="preserve">Ongoing — Executive Committee Restructuring: </w:t>
      </w:r>
      <w:r>
        <w:rPr>
          <w:rFonts w:ascii="Calibri" w:hAnsi="Calibri"/>
          <w:color w:val="525866"/>
          <w:sz w:val="22"/>
        </w:rPr>
        <w:t xml:space="preserve">Jay Shah (Group President, Plumbing &amp; Wellness) and Rick Marshall (VP, Masco Operating System) are retiring. Four largest business unit heads now report directly to CEO Jon Nudi. New Chief Procurement Officer and Chief Supply Chain Officer added. </w:t>
      </w:r>
      <w:r>
        <w:rPr>
          <w:rFonts w:ascii="Calibri" w:hAnsi="Calibri"/>
          <w:b/>
          <w:color w:val="525866"/>
          <w:sz w:val="22"/>
        </w:rPr>
        <w:t xml:space="preserve">Implication: </w:t>
      </w:r>
      <w:r>
        <w:rPr>
          <w:rFonts w:ascii="Calibri" w:hAnsi="Calibri"/>
          <w:color w:val="525866"/>
          <w:sz w:val="22"/>
        </w:rPr>
        <w:t>Organizational flattening is designed to increase speed and agility, but the loss of two senior leaders creates some execution risk in the near term. The new supply chain/procurement leadership is directly relevant to tariff and commodity cost mitigation.</w:t>
      </w:r>
    </w:p>
    <w:p>
      <w:pPr>
        <w:pStyle w:val="ListBullet"/>
        <w:ind w:left="360" w:hanging="360"/>
      </w:pPr>
      <w:r>
        <w:rPr>
          <w:rFonts w:ascii="Calibri" w:hAnsi="Calibri"/>
          <w:b/>
          <w:color w:val="525866"/>
          <w:sz w:val="22"/>
        </w:rPr>
        <w:t xml:space="preserve">Ongoing — Commodity Cost Inflation (Copper, Zinc, Oil/Resins): </w:t>
      </w:r>
      <w:r>
        <w:rPr>
          <w:rFonts w:ascii="Calibri" w:hAnsi="Calibri"/>
          <w:color w:val="525866"/>
          <w:sz w:val="22"/>
        </w:rPr>
        <w:t xml:space="preserve">Copper prices remain elevated; oil/resin costs are a near-term headwind for Decorative Architectural (1–2 quarter lag). Mid-single-digit total input cost inflation expected for FY 2026. </w:t>
      </w:r>
      <w:r>
        <w:rPr>
          <w:rFonts w:ascii="Calibri" w:hAnsi="Calibri"/>
          <w:b/>
          <w:color w:val="525866"/>
          <w:sz w:val="22"/>
        </w:rPr>
        <w:t xml:space="preserve">Implication: </w:t>
      </w:r>
      <w:r>
        <w:rPr>
          <w:rFonts w:ascii="Calibri" w:hAnsi="Calibri"/>
          <w:color w:val="525866"/>
          <w:sz w:val="22"/>
        </w:rPr>
        <w:t>The single biggest risk to Q2 margins — if oil/resin costs are worse than the mid-single-digit assumption, Decorative Architectural margins could disappoint vs. the ~21% Q2 consensus.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sells by executives or directors since the Q1 2026 earnings date. The only Form 4 activity in the period was routine annual director equity grants (transaction code “A” — Award/Grant) on May 8, 2026 — </w:t>
      </w:r>
      <w:r>
        <w:rPr>
          <w:rFonts w:ascii="Calibri" w:hAnsi="Calibri"/>
          <w:b/>
          <w:color w:val="525866"/>
          <w:sz w:val="22"/>
        </w:rPr>
        <w:t>the absence of any discretionary open-market purchases or sales is neutral and not a meaningful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Name</w:t>
            </w:r>
          </w:p>
        </w:tc>
        <w:tc>
          <w:tcPr>
            <w:tcW w:type="dxa" w:w="1440"/>
          </w:tcPr>
          <w:p>
            <w:r>
              <w:rPr>
                <w:rFonts w:ascii="Calibri" w:hAnsi="Calibri"/>
                <w:b/>
                <w:sz w:val="22"/>
              </w:rPr>
              <w:t>Title</w:t>
            </w:r>
          </w:p>
        </w:tc>
        <w:tc>
          <w:tcPr>
            <w:tcW w:type="dxa" w:w="1440"/>
          </w:tcPr>
          <w:p>
            <w:r>
              <w:rPr>
                <w:rFonts w:ascii="Calibri" w:hAnsi="Calibri"/>
                <w:b/>
                <w:sz w:val="22"/>
              </w:rPr>
              <w:t>Transaction Type</w:t>
            </w:r>
          </w:p>
        </w:tc>
        <w:tc>
          <w:tcPr>
            <w:tcW w:type="dxa" w:w="1440"/>
          </w:tcPr>
          <w:p>
            <w:r>
              <w:rPr>
                <w:rFonts w:ascii="Calibri" w:hAnsi="Calibri"/>
                <w:b/>
                <w:sz w:val="22"/>
              </w:rPr>
              <w:t>Shares</w:t>
            </w:r>
          </w:p>
        </w:tc>
        <w:tc>
          <w:tcPr>
            <w:tcW w:type="dxa" w:w="1440"/>
          </w:tcPr>
          <w:p>
            <w:r>
              <w:rPr>
                <w:rFonts w:ascii="Calibri" w:hAnsi="Calibri"/>
                <w:b/>
                <w:sz w:val="22"/>
              </w:rPr>
              <w:t>Date</w:t>
            </w:r>
          </w:p>
        </w:tc>
        <w:tc>
          <w:tcPr>
            <w:tcW w:type="dxa" w:w="1440"/>
          </w:tcPr>
          <w:p>
            <w:r>
              <w:rPr>
                <w:rFonts w:ascii="Calibri" w:hAnsi="Calibri"/>
                <w:b/>
                <w:sz w:val="22"/>
              </w:rPr>
              <w:t>Note</w:t>
            </w:r>
          </w:p>
        </w:tc>
      </w:tr>
      <w:tr>
        <w:tc>
          <w:tcPr>
            <w:tcW w:type="dxa" w:w="1440"/>
          </w:tcPr>
          <w:p>
            <w:r>
              <w:rPr>
                <w:rFonts w:ascii="Calibri" w:hAnsi="Calibri"/>
                <w:sz w:val="22"/>
              </w:rPr>
              <w:t>Alexander, Mark R.</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2,650</w:t>
            </w:r>
          </w:p>
        </w:tc>
        <w:tc>
          <w:tcPr>
            <w:tcW w:type="dxa" w:w="1440"/>
          </w:tcPr>
          <w:p>
            <w:r>
              <w:rPr>
                <w:rFonts w:ascii="Calibri" w:hAnsi="Calibri"/>
                <w:sz w:val="22"/>
              </w:rPr>
              <w:t>May 8, 2026</w:t>
            </w:r>
          </w:p>
        </w:tc>
        <w:tc>
          <w:tcPr>
            <w:tcW w:type="dxa" w:w="1440"/>
          </w:tcPr>
          <w:p>
            <w:r>
              <w:rPr>
                <w:rFonts w:ascii="Calibri" w:hAnsi="Calibri"/>
                <w:sz w:val="22"/>
              </w:rPr>
              <w:t>Routine annual director equity grant; not a discretionary open-market transaction</w:t>
            </w:r>
          </w:p>
        </w:tc>
      </w:tr>
      <w:tr>
        <w:tc>
          <w:tcPr>
            <w:tcW w:type="dxa" w:w="1440"/>
          </w:tcPr>
          <w:p>
            <w:r>
              <w:rPr>
                <w:rFonts w:ascii="Calibri" w:hAnsi="Calibri"/>
                <w:sz w:val="22"/>
              </w:rPr>
              <w:t>Coombe, Gary A.</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2,650</w:t>
            </w:r>
          </w:p>
        </w:tc>
        <w:tc>
          <w:tcPr>
            <w:tcW w:type="dxa" w:w="1440"/>
          </w:tcPr>
          <w:p>
            <w:r>
              <w:rPr>
                <w:rFonts w:ascii="Calibri" w:hAnsi="Calibri"/>
                <w:sz w:val="22"/>
              </w:rPr>
              <w:t>May 8, 2026</w:t>
            </w:r>
          </w:p>
        </w:tc>
        <w:tc>
          <w:tcPr>
            <w:tcW w:type="dxa" w:w="1440"/>
          </w:tcPr>
          <w:p>
            <w:r>
              <w:rPr>
                <w:rFonts w:ascii="Calibri" w:hAnsi="Calibri"/>
                <w:sz w:val="22"/>
              </w:rPr>
              <w:t>Routine annual director equity grant</w:t>
            </w:r>
          </w:p>
        </w:tc>
      </w:tr>
      <w:tr>
        <w:tc>
          <w:tcPr>
            <w:tcW w:type="dxa" w:w="1440"/>
          </w:tcPr>
          <w:p>
            <w:r>
              <w:rPr>
                <w:rFonts w:ascii="Calibri" w:hAnsi="Calibri"/>
                <w:sz w:val="22"/>
              </w:rPr>
              <w:t>Denari, Aine</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2,650</w:t>
            </w:r>
          </w:p>
        </w:tc>
        <w:tc>
          <w:tcPr>
            <w:tcW w:type="dxa" w:w="1440"/>
          </w:tcPr>
          <w:p>
            <w:r>
              <w:rPr>
                <w:rFonts w:ascii="Calibri" w:hAnsi="Calibri"/>
                <w:sz w:val="22"/>
              </w:rPr>
              <w:t>May 8, 2026</w:t>
            </w:r>
          </w:p>
        </w:tc>
        <w:tc>
          <w:tcPr>
            <w:tcW w:type="dxa" w:w="1440"/>
          </w:tcPr>
          <w:p>
            <w:r>
              <w:rPr>
                <w:rFonts w:ascii="Calibri" w:hAnsi="Calibri"/>
                <w:sz w:val="22"/>
              </w:rPr>
              <w:t>Routine annual director equity grant</w:t>
            </w:r>
          </w:p>
        </w:tc>
      </w:tr>
      <w:tr>
        <w:tc>
          <w:tcPr>
            <w:tcW w:type="dxa" w:w="1440"/>
          </w:tcPr>
          <w:p>
            <w:r>
              <w:rPr>
                <w:rFonts w:ascii="Calibri" w:hAnsi="Calibri"/>
                <w:sz w:val="22"/>
              </w:rPr>
              <w:t>Ffolkes, Marie A.</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2,650</w:t>
            </w:r>
          </w:p>
        </w:tc>
        <w:tc>
          <w:tcPr>
            <w:tcW w:type="dxa" w:w="1440"/>
          </w:tcPr>
          <w:p>
            <w:r>
              <w:rPr>
                <w:rFonts w:ascii="Calibri" w:hAnsi="Calibri"/>
                <w:sz w:val="22"/>
              </w:rPr>
              <w:t>May 8, 2026</w:t>
            </w:r>
          </w:p>
        </w:tc>
        <w:tc>
          <w:tcPr>
            <w:tcW w:type="dxa" w:w="1440"/>
          </w:tcPr>
          <w:p>
            <w:r>
              <w:rPr>
                <w:rFonts w:ascii="Calibri" w:hAnsi="Calibri"/>
                <w:sz w:val="22"/>
              </w:rPr>
              <w:t>Routine annual director equity grant</w:t>
            </w:r>
          </w:p>
        </w:tc>
      </w:tr>
      <w:tr>
        <w:tc>
          <w:tcPr>
            <w:tcW w:type="dxa" w:w="1440"/>
          </w:tcPr>
          <w:p>
            <w:r>
              <w:rPr>
                <w:rFonts w:ascii="Calibri" w:hAnsi="Calibri"/>
                <w:sz w:val="22"/>
              </w:rPr>
              <w:t>O’Herlihy, Christopher A.</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2,650</w:t>
            </w:r>
          </w:p>
        </w:tc>
        <w:tc>
          <w:tcPr>
            <w:tcW w:type="dxa" w:w="1440"/>
          </w:tcPr>
          <w:p>
            <w:r>
              <w:rPr>
                <w:rFonts w:ascii="Calibri" w:hAnsi="Calibri"/>
                <w:sz w:val="22"/>
              </w:rPr>
              <w:t>May 8, 2026</w:t>
            </w:r>
          </w:p>
        </w:tc>
        <w:tc>
          <w:tcPr>
            <w:tcW w:type="dxa" w:w="1440"/>
          </w:tcPr>
          <w:p>
            <w:r>
              <w:rPr>
                <w:rFonts w:ascii="Calibri" w:hAnsi="Calibri"/>
                <w:sz w:val="22"/>
              </w:rPr>
              <w:t>Routine annual director equity grant</w:t>
            </w:r>
          </w:p>
        </w:tc>
      </w:tr>
      <w:tr>
        <w:tc>
          <w:tcPr>
            <w:tcW w:type="dxa" w:w="1440"/>
          </w:tcPr>
          <w:p>
            <w:r>
              <w:rPr>
                <w:rFonts w:ascii="Calibri" w:hAnsi="Calibri"/>
                <w:sz w:val="22"/>
              </w:rPr>
              <w:t>Payne, Lisa A.</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2,650</w:t>
            </w:r>
          </w:p>
        </w:tc>
        <w:tc>
          <w:tcPr>
            <w:tcW w:type="dxa" w:w="1440"/>
          </w:tcPr>
          <w:p>
            <w:r>
              <w:rPr>
                <w:rFonts w:ascii="Calibri" w:hAnsi="Calibri"/>
                <w:sz w:val="22"/>
              </w:rPr>
              <w:t>May 8, 2026</w:t>
            </w:r>
          </w:p>
        </w:tc>
        <w:tc>
          <w:tcPr>
            <w:tcW w:type="dxa" w:w="1440"/>
          </w:tcPr>
          <w:p>
            <w:r>
              <w:rPr>
                <w:rFonts w:ascii="Calibri" w:hAnsi="Calibri"/>
                <w:sz w:val="22"/>
              </w:rPr>
              <w:t>Routine annual director equity grant</w:t>
            </w:r>
          </w:p>
        </w:tc>
      </w:tr>
      <w:tr>
        <w:tc>
          <w:tcPr>
            <w:tcW w:type="dxa" w:w="1440"/>
          </w:tcPr>
          <w:p>
            <w:r>
              <w:rPr>
                <w:rFonts w:ascii="Calibri" w:hAnsi="Calibri"/>
                <w:sz w:val="22"/>
              </w:rPr>
              <w:t>Plant, John C.</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2,650</w:t>
            </w:r>
          </w:p>
        </w:tc>
        <w:tc>
          <w:tcPr>
            <w:tcW w:type="dxa" w:w="1440"/>
          </w:tcPr>
          <w:p>
            <w:r>
              <w:rPr>
                <w:rFonts w:ascii="Calibri" w:hAnsi="Calibri"/>
                <w:sz w:val="22"/>
              </w:rPr>
              <w:t>May 8, 2026</w:t>
            </w:r>
          </w:p>
        </w:tc>
        <w:tc>
          <w:tcPr>
            <w:tcW w:type="dxa" w:w="1440"/>
          </w:tcPr>
          <w:p>
            <w:r>
              <w:rPr>
                <w:rFonts w:ascii="Calibri" w:hAnsi="Calibri"/>
                <w:sz w:val="22"/>
              </w:rPr>
              <w:t>Routine annual director equity grant</w:t>
            </w:r>
          </w:p>
        </w:tc>
      </w:tr>
      <w:tr>
        <w:tc>
          <w:tcPr>
            <w:tcW w:type="dxa" w:w="1440"/>
          </w:tcPr>
          <w:p>
            <w:r>
              <w:rPr>
                <w:rFonts w:ascii="Calibri" w:hAnsi="Calibri"/>
                <w:sz w:val="22"/>
              </w:rPr>
              <w:t>Reddy, Sandeep</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2,650</w:t>
            </w:r>
          </w:p>
        </w:tc>
        <w:tc>
          <w:tcPr>
            <w:tcW w:type="dxa" w:w="1440"/>
          </w:tcPr>
          <w:p>
            <w:r>
              <w:rPr>
                <w:rFonts w:ascii="Calibri" w:hAnsi="Calibri"/>
                <w:sz w:val="22"/>
              </w:rPr>
              <w:t>May 8, 2026</w:t>
            </w:r>
          </w:p>
        </w:tc>
        <w:tc>
          <w:tcPr>
            <w:tcW w:type="dxa" w:w="1440"/>
          </w:tcPr>
          <w:p>
            <w:r>
              <w:rPr>
                <w:rFonts w:ascii="Calibri" w:hAnsi="Calibri"/>
                <w:sz w:val="22"/>
              </w:rPr>
              <w:t>Routine annual director equity grant</w:t>
            </w:r>
          </w:p>
        </w:tc>
      </w:tr>
      <w:tr>
        <w:tc>
          <w:tcPr>
            <w:tcW w:type="dxa" w:w="1440"/>
          </w:tcPr>
          <w:p>
            <w:r>
              <w:rPr>
                <w:rFonts w:ascii="Calibri" w:hAnsi="Calibri"/>
                <w:sz w:val="22"/>
              </w:rPr>
              <w:t>Stevens, Charles K. III</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2,650</w:t>
            </w:r>
          </w:p>
        </w:tc>
        <w:tc>
          <w:tcPr>
            <w:tcW w:type="dxa" w:w="1440"/>
          </w:tcPr>
          <w:p>
            <w:r>
              <w:rPr>
                <w:rFonts w:ascii="Calibri" w:hAnsi="Calibri"/>
                <w:sz w:val="22"/>
              </w:rPr>
              <w:t>May 8, 2026</w:t>
            </w:r>
          </w:p>
        </w:tc>
        <w:tc>
          <w:tcPr>
            <w:tcW w:type="dxa" w:w="1440"/>
          </w:tcPr>
          <w:p>
            <w:r>
              <w:rPr>
                <w:rFonts w:ascii="Calibri" w:hAnsi="Calibri"/>
                <w:sz w:val="22"/>
              </w:rPr>
              <w:t>Routine annual director equity grant</w:t>
            </w:r>
          </w:p>
        </w:tc>
      </w:tr>
    </w:tbl>
    <w:p>
      <w:r>
        <w:rPr>
          <w:rFonts w:ascii="Calibri" w:hAnsi="Calibri"/>
          <w:i/>
          <w:color w:val="525866"/>
          <w:sz w:val="22"/>
        </w:rPr>
        <w:t>Source: SEC Form 4 Filings (Insider Transaction Data). All transactions are transaction code “A” (Award/Grant) — routine annual director equity compensation, not open-market purchases or sales. No executive officer (CEO, CFO, COO) transactions were filed in the period. The absence of any discretionary open-market buying or selling by insiders is neutral; it does not signal either unusual confidence or concern heading into Q2 earnings.</w:t>
      </w:r>
    </w:p>
    <w:p>
      <w:r>
        <w:rPr>
          <w:rFonts w:ascii="Calibri" w:hAnsi="Calibri"/>
          <w:i/>
          <w:color w:val="525866"/>
          <w:sz w:val="22"/>
        </w:rPr>
        <w:t>— End of Document —</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