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mdlz-q2-2026-earnings-preview"/>
    <w:p>
      <w:pPr>
        <w:pStyle w:val="Heading1"/>
      </w:pPr>
      <w:r>
        <w:t xml:space="preserve">MDLZ Q2 2026 Earnings Preview</w:t>
      </w:r>
    </w:p>
    <w:p>
      <w:pPr>
        <w:pStyle w:val="BlockText"/>
      </w:pPr>
      <w:r>
        <w:rPr>
          <w:b/>
          <w:bCs/>
        </w:rPr>
        <w:t xml:space="preserve">Timing clarification:</w:t>
      </w:r>
      <w:r>
        <w:t xml:space="preserve"> </w:t>
      </w:r>
      <w:r>
        <w:t xml:space="preserve">Mondelēz is scheduled to release Q2 results</w:t>
      </w:r>
      <w:r>
        <w:t xml:space="preserve"> </w:t>
      </w:r>
      <w:r>
        <w:rPr>
          <w:b/>
          <w:bCs/>
        </w:rPr>
        <w:t xml:space="preserve">today, Tuesday, July 28, 2026, at 4:05 p.m. ET</w:t>
      </w:r>
      <w:r>
        <w:t xml:space="preserve">, followed by its earnings call at 5:00 p.m. ET—not tomorrow. (</w:t>
      </w:r>
      <w:hyperlink r:id="rId9">
        <w:r>
          <w:rPr>
            <w:rStyle w:val="Hyperlink"/>
          </w:rPr>
          <w:t xml:space="preserve">ir.mondelezinternational.com</w:t>
        </w:r>
      </w:hyperlink>
      <w:r>
        <w:t xml:space="preserve">)</w:t>
      </w:r>
    </w:p>
    <w:bookmarkStart w:id="11" w:name="the-setup"/>
    <w:p>
      <w:pPr>
        <w:pStyle w:val="Heading2"/>
      </w:pPr>
      <w:r>
        <w:t xml:space="preserve">The setup</w:t>
      </w:r>
    </w:p>
    <w:p>
      <w:pPr>
        <w:pStyle w:val="FirstParagraph"/>
      </w:pPr>
      <w:r>
        <w:t xml:space="preserve">The central question going into the report is whether Mondelēz’s business is progressing from</w:t>
      </w:r>
      <w:r>
        <w:t xml:space="preserve"> </w:t>
      </w:r>
      <w:r>
        <w:rPr>
          <w:b/>
          <w:bCs/>
        </w:rPr>
        <w:t xml:space="preserve">price-led growth and heavy cocoa pressure toward better volume trends and earnings recovery</w:t>
      </w:r>
      <w:r>
        <w:t xml:space="preserve">.</w:t>
      </w:r>
    </w:p>
    <w:p>
      <w:pPr>
        <w:pStyle w:val="BodyText"/>
      </w:pPr>
      <w:r>
        <w:t xml:space="preserve">Q1 was encouraging operationally: organic revenue grew 3.0%, emerging markets remained strong, and developed-market trends improved. But adjusted EPS fell 14.9% in constant currency as input inflation, unfavorable mix and increased brand investment compressed margins. Management maintained its full-year targets, citing geopolitical and energy-related costs while signaling that potential upside would probably be reinvested. (</w:t>
      </w:r>
      <w:hyperlink r:id="rId10">
        <w:r>
          <w:rPr>
            <w:rStyle w:val="Hyperlink"/>
          </w:rPr>
          <w:t xml:space="preserve">ir.mondelezinternational.com</w:t>
        </w:r>
      </w:hyperlink>
      <w:r>
        <w:t xml:space="preserve">)</w:t>
      </w:r>
    </w:p>
    <w:p>
      <w:pPr>
        <w:pStyle w:val="BodyText"/>
      </w:pPr>
      <w:r>
        <w:t xml:space="preserve">For Q2, investors appear prepared for modest organic growth and another year-over-year EPS decline. Consequently, the stock’s reaction should depend less on a small headline beat and more on:</w:t>
      </w:r>
    </w:p>
    <w:p>
      <w:pPr>
        <w:pStyle w:val="Compact"/>
        <w:numPr>
          <w:ilvl w:val="0"/>
          <w:numId w:val="1001"/>
        </w:numPr>
      </w:pPr>
      <w:r>
        <w:t xml:space="preserve">Volume and market-share improvement in Europe and North America.</w:t>
      </w:r>
    </w:p>
    <w:p>
      <w:pPr>
        <w:pStyle w:val="Compact"/>
        <w:numPr>
          <w:ilvl w:val="0"/>
          <w:numId w:val="1001"/>
        </w:numPr>
      </w:pPr>
      <w:r>
        <w:t xml:space="preserve">The trajectory of gross margins and cocoa costs.</w:t>
      </w:r>
    </w:p>
    <w:p>
      <w:pPr>
        <w:pStyle w:val="Compact"/>
        <w:numPr>
          <w:ilvl w:val="0"/>
          <w:numId w:val="1001"/>
        </w:numPr>
      </w:pPr>
      <w:r>
        <w:t xml:space="preserve">Confidence in full-year guidance.</w:t>
      </w:r>
    </w:p>
    <w:p>
      <w:pPr>
        <w:pStyle w:val="Compact"/>
        <w:numPr>
          <w:ilvl w:val="0"/>
          <w:numId w:val="1001"/>
        </w:numPr>
      </w:pPr>
      <w:r>
        <w:t xml:space="preserve">Management’s ability to support the promised stronger earnings growth in 2027.</w:t>
      </w:r>
    </w:p>
    <w:p>
      <w:r>
        <w:pict>
          <v:rect style="width:0;height:1.5pt" o:hralign="center" o:hrstd="t" o:hr="t"/>
        </w:pict>
      </w:r>
    </w:p>
    <w:bookmarkEnd w:id="11"/>
    <w:bookmarkStart w:id="12" w:name="street-expectations"/>
    <w:p>
      <w:pPr>
        <w:pStyle w:val="Heading2"/>
      </w:pPr>
      <w:r>
        <w:t xml:space="preserve">Street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comparison</w:t>
            </w:r>
          </w:p>
        </w:tc>
      </w:tr>
      <w:tr>
        <w:tc>
          <w:tcPr/>
          <w:p>
            <w:pPr>
              <w:pStyle w:val="Compact"/>
            </w:pPr>
            <w:r>
              <w:t xml:space="preserve">Adjusted EPS</w:t>
            </w:r>
          </w:p>
        </w:tc>
        <w:tc>
          <w:tcPr/>
          <w:p>
            <w:pPr>
              <w:pStyle w:val="Compact"/>
              <w:jc w:val="right"/>
            </w:pPr>
            <w:r>
              <w:rPr>
                <w:b/>
                <w:bCs/>
              </w:rPr>
              <w:t xml:space="preserve">$0.68</w:t>
            </w:r>
          </w:p>
        </w:tc>
        <w:tc>
          <w:tcPr/>
          <w:p>
            <w:pPr>
              <w:pStyle w:val="Compact"/>
              <w:jc w:val="right"/>
            </w:pPr>
            <w:r>
              <w:t xml:space="preserve">$0.73</w:t>
            </w:r>
          </w:p>
        </w:tc>
      </w:tr>
      <w:tr>
        <w:tc>
          <w:tcPr/>
          <w:p>
            <w:pPr>
              <w:pStyle w:val="Compact"/>
            </w:pPr>
            <w:r>
              <w:t xml:space="preserve">Organic net revenue growth</w:t>
            </w:r>
          </w:p>
        </w:tc>
        <w:tc>
          <w:tcPr/>
          <w:p>
            <w:pPr>
              <w:pStyle w:val="Compact"/>
              <w:jc w:val="right"/>
            </w:pPr>
            <w:r>
              <w:rPr>
                <w:b/>
                <w:bCs/>
              </w:rPr>
              <w:t xml:space="preserve">~1.0%</w:t>
            </w:r>
          </w:p>
        </w:tc>
        <w:tc>
          <w:tcPr/>
          <w:p>
            <w:pPr>
              <w:pStyle w:val="Compact"/>
              <w:jc w:val="right"/>
            </w:pPr>
            <w:r>
              <w:t xml:space="preserve">5.6%</w:t>
            </w:r>
          </w:p>
        </w:tc>
      </w:tr>
      <w:tr>
        <w:tc>
          <w:tcPr/>
          <w:p>
            <w:pPr>
              <w:pStyle w:val="Compact"/>
            </w:pPr>
            <w:r>
              <w:t xml:space="preserve">Latin America organic growth</w:t>
            </w:r>
          </w:p>
        </w:tc>
        <w:tc>
          <w:tcPr/>
          <w:p>
            <w:pPr>
              <w:pStyle w:val="Compact"/>
              <w:jc w:val="right"/>
            </w:pPr>
            <w:r>
              <w:rPr>
                <w:b/>
                <w:bCs/>
              </w:rPr>
              <w:t xml:space="preserve">Above 4%</w:t>
            </w:r>
          </w:p>
        </w:tc>
        <w:tc>
          <w:tcPr/>
          <w:p>
            <w:pPr>
              <w:pStyle w:val="Compact"/>
              <w:jc w:val="right"/>
            </w:pPr>
            <w:r>
              <w:t xml:space="preserve">5.4%</w:t>
            </w:r>
          </w:p>
        </w:tc>
      </w:tr>
      <w:tr>
        <w:tc>
          <w:tcPr/>
          <w:p>
            <w:pPr>
              <w:pStyle w:val="Compact"/>
            </w:pPr>
            <w:r>
              <w:t xml:space="preserve">AMEA organic growth</w:t>
            </w:r>
          </w:p>
        </w:tc>
        <w:tc>
          <w:tcPr/>
          <w:p>
            <w:pPr>
              <w:pStyle w:val="Compact"/>
              <w:jc w:val="right"/>
            </w:pPr>
            <w:r>
              <w:rPr>
                <w:b/>
                <w:bCs/>
              </w:rPr>
              <w:t xml:space="preserve">Above 4%</w:t>
            </w:r>
          </w:p>
        </w:tc>
        <w:tc>
          <w:tcPr/>
          <w:p>
            <w:pPr>
              <w:pStyle w:val="Compact"/>
              <w:jc w:val="right"/>
            </w:pPr>
            <w:r>
              <w:t xml:space="preserve">8.6%</w:t>
            </w:r>
          </w:p>
        </w:tc>
      </w:tr>
      <w:tr>
        <w:tc>
          <w:tcPr/>
          <w:p>
            <w:pPr>
              <w:pStyle w:val="Compact"/>
            </w:pPr>
            <w:r>
              <w:t xml:space="preserve">Europe organic growth</w:t>
            </w:r>
          </w:p>
        </w:tc>
        <w:tc>
          <w:tcPr/>
          <w:p>
            <w:pPr>
              <w:pStyle w:val="Compact"/>
              <w:jc w:val="right"/>
            </w:pPr>
            <w:r>
              <w:rPr>
                <w:b/>
                <w:bCs/>
              </w:rPr>
              <w:t xml:space="preserve">~(1.6%)</w:t>
            </w:r>
          </w:p>
        </w:tc>
        <w:tc>
          <w:tcPr/>
          <w:p>
            <w:pPr>
              <w:pStyle w:val="Compact"/>
              <w:jc w:val="right"/>
            </w:pPr>
            <w:r>
              <w:t xml:space="preserve">12.5%</w:t>
            </w:r>
          </w:p>
        </w:tc>
      </w:tr>
      <w:tr>
        <w:tc>
          <w:tcPr/>
          <w:p>
            <w:pPr>
              <w:pStyle w:val="Compact"/>
            </w:pPr>
            <w:r>
              <w:t xml:space="preserve">North America organic growth</w:t>
            </w:r>
          </w:p>
        </w:tc>
        <w:tc>
          <w:tcPr/>
          <w:p>
            <w:pPr>
              <w:pStyle w:val="Compact"/>
              <w:jc w:val="right"/>
            </w:pPr>
            <w:r>
              <w:rPr>
                <w:b/>
                <w:bCs/>
              </w:rPr>
              <w:t xml:space="preserve">~0.4%</w:t>
            </w:r>
          </w:p>
        </w:tc>
        <w:tc>
          <w:tcPr/>
          <w:p>
            <w:pPr>
              <w:pStyle w:val="Compact"/>
              <w:jc w:val="right"/>
            </w:pPr>
            <w:r>
              <w:t xml:space="preserve">(3.4%)</w:t>
            </w:r>
          </w:p>
        </w:tc>
      </w:tr>
    </w:tbl>
    <w:p>
      <w:pPr>
        <w:pStyle w:val="BodyText"/>
      </w:pPr>
      <w:r>
        <w:t xml:space="preserve">The EPS estimate implies a decline of roughly</w:t>
      </w:r>
      <w:r>
        <w:t xml:space="preserve"> </w:t>
      </w:r>
      <w:r>
        <w:rPr>
          <w:b/>
          <w:bCs/>
        </w:rPr>
        <w:t xml:space="preserve">7%</w:t>
      </w:r>
      <w:r>
        <w:t xml:space="preserve">, an improvement from Q1’s 14.9% constant-currency contraction. Organic growth of approximately 1% would sit at the midpoint of management’s full-year 0%–2% range.</w:t>
      </w:r>
    </w:p>
    <w:p>
      <w:pPr>
        <w:pStyle w:val="BodyText"/>
      </w:pPr>
      <w:r>
        <w:t xml:space="preserve">The regional comparisons are unusually important. Europe is lapping last year’s 12.5% price-heavy growth, while North America is facing a much easier comparison after declining 3.4% in Q2 2025.</w:t>
      </w:r>
    </w:p>
    <w:p>
      <w:r>
        <w:pict>
          <v:rect style="width:0;height:1.5pt" o:hralign="center" o:hrstd="t" o:hr="t"/>
        </w:pict>
      </w:r>
    </w:p>
    <w:bookmarkEnd w:id="12"/>
    <w:bookmarkStart w:id="17" w:name="what-matters-most"/>
    <w:p>
      <w:pPr>
        <w:pStyle w:val="Heading2"/>
      </w:pPr>
      <w:r>
        <w:t xml:space="preserve">What matters most</w:t>
      </w:r>
    </w:p>
    <w:bookmarkStart w:id="13" w:name="Xe4a7fe0a2a1211666f8ad5002cc470f3e728d60"/>
    <w:p>
      <w:pPr>
        <w:pStyle w:val="Heading3"/>
      </w:pPr>
      <w:r>
        <w:t xml:space="preserve">1. Volume/mix: Has the inflection actually arrived?</w:t>
      </w:r>
    </w:p>
    <w:p>
      <w:pPr>
        <w:pStyle w:val="FirstParagraph"/>
      </w:pPr>
      <w:r>
        <w:t xml:space="preserve">Q1 organic growth consisted of</w:t>
      </w:r>
      <w:r>
        <w:t xml:space="preserve"> </w:t>
      </w:r>
      <w:r>
        <w:rPr>
          <w:b/>
          <w:bCs/>
        </w:rPr>
        <w:t xml:space="preserve">3.5 points of pricing and negative 0.5% volume/mix</w:t>
      </w:r>
      <w:r>
        <w:t xml:space="preserve">. That was better than the 1.5% volume/mix decline recorded in Q2 2025, but it still left MDLZ dependent on pricing.</w:t>
      </w:r>
    </w:p>
    <w:p>
      <w:pPr>
        <w:pStyle w:val="BodyText"/>
      </w:pPr>
      <w:r>
        <w:t xml:space="preserve">Management entered Q2 expecting:</w:t>
      </w:r>
    </w:p>
    <w:p>
      <w:pPr>
        <w:pStyle w:val="Compact"/>
        <w:numPr>
          <w:ilvl w:val="0"/>
          <w:numId w:val="1002"/>
        </w:numPr>
      </w:pPr>
      <w:r>
        <w:t xml:space="preserve">Continued improvement in European chocolate volumes and share.</w:t>
      </w:r>
    </w:p>
    <w:p>
      <w:pPr>
        <w:pStyle w:val="Compact"/>
        <w:numPr>
          <w:ilvl w:val="0"/>
          <w:numId w:val="1002"/>
        </w:numPr>
      </w:pPr>
      <w:r>
        <w:t xml:space="preserve">Positive revenue and volume inflection in North America.</w:t>
      </w:r>
    </w:p>
    <w:p>
      <w:pPr>
        <w:pStyle w:val="Compact"/>
        <w:numPr>
          <w:ilvl w:val="0"/>
          <w:numId w:val="1002"/>
        </w:numPr>
      </w:pPr>
      <w:r>
        <w:t xml:space="preserve">Sustained emerging-market growth.</w:t>
      </w:r>
    </w:p>
    <w:p>
      <w:pPr>
        <w:pStyle w:val="Compact"/>
        <w:numPr>
          <w:ilvl w:val="0"/>
          <w:numId w:val="1002"/>
        </w:numPr>
      </w:pPr>
      <w:r>
        <w:t xml:space="preserve">Benefits from improved price-pack architecture, promotions and brand spending.</w:t>
      </w:r>
    </w:p>
    <w:p>
      <w:pPr>
        <w:pStyle w:val="FirstParagraph"/>
      </w:pPr>
      <w:r>
        <w:t xml:space="preserve">A good result would therefore be more than 1% organic growth. Investors will want to see that growth supported by</w:t>
      </w:r>
      <w:r>
        <w:t xml:space="preserve"> </w:t>
      </w:r>
      <w:r>
        <w:rPr>
          <w:b/>
          <w:bCs/>
        </w:rPr>
        <w:t xml:space="preserve">stable or improving volume/mix</w:t>
      </w:r>
      <w:r>
        <w:t xml:space="preserve">, particularly in developed markets.</w:t>
      </w:r>
    </w:p>
    <w:p>
      <w:pPr>
        <w:pStyle w:val="BodyText"/>
      </w:pPr>
      <w:r>
        <w:t xml:space="preserve">A result driven primarily by another round of pricing, with volumes weakening again, would be lower quality—even if reported revenue beats expectations.</w:t>
      </w:r>
    </w:p>
    <w:bookmarkEnd w:id="13"/>
    <w:bookmarkStart w:id="14" w:name="X375ad95e2f4115346607e9403da04afa2046d2e"/>
    <w:p>
      <w:pPr>
        <w:pStyle w:val="Heading3"/>
      </w:pPr>
      <w:r>
        <w:t xml:space="preserve">2. Europe: Sequential progress versus a difficult comparison</w:t>
      </w:r>
    </w:p>
    <w:p>
      <w:pPr>
        <w:pStyle w:val="FirstParagraph"/>
      </w:pPr>
      <w:r>
        <w:t xml:space="preserve">Europe is likely to be the report’s most closely watched segment. Q1 organic sales declined 0.6%, with pricing of 2.6% offset by a 3.2% volume/mix decline. Management nevertheless said retailer negotiations were largely completed, Easter execution was strong and chocolate share trends had begun improving.</w:t>
      </w:r>
    </w:p>
    <w:p>
      <w:pPr>
        <w:pStyle w:val="BodyText"/>
      </w:pPr>
      <w:r>
        <w:t xml:space="preserve">The Street expects Q2 organic sales to decline around 1.6%, reflecting a very difficult comparison against last year’s cocoa-related pricing.</w:t>
      </w:r>
    </w:p>
    <w:p>
      <w:pPr>
        <w:pStyle w:val="BodyText"/>
      </w:pPr>
      <w:r>
        <w:t xml:space="preserve">The key questions are:</w:t>
      </w:r>
    </w:p>
    <w:p>
      <w:pPr>
        <w:pStyle w:val="Compact"/>
        <w:numPr>
          <w:ilvl w:val="0"/>
          <w:numId w:val="1003"/>
        </w:numPr>
      </w:pPr>
      <w:r>
        <w:t xml:space="preserve">Did underlying chocolate volumes continue to improve after Easter?</w:t>
      </w:r>
    </w:p>
    <w:p>
      <w:pPr>
        <w:pStyle w:val="Compact"/>
        <w:numPr>
          <w:ilvl w:val="0"/>
          <w:numId w:val="1003"/>
        </w:numPr>
      </w:pPr>
      <w:r>
        <w:t xml:space="preserve">Are Cadbury, Milka, Toblerone and the Biscoff partnership supporting market share?</w:t>
      </w:r>
    </w:p>
    <w:p>
      <w:pPr>
        <w:pStyle w:val="Compact"/>
        <w:numPr>
          <w:ilvl w:val="0"/>
          <w:numId w:val="1003"/>
        </w:numPr>
      </w:pPr>
      <w:r>
        <w:t xml:space="preserve">Has competitive pricing remained rational as cocoa prices eased?</w:t>
      </w:r>
    </w:p>
    <w:p>
      <w:pPr>
        <w:pStyle w:val="Compact"/>
        <w:numPr>
          <w:ilvl w:val="0"/>
          <w:numId w:val="1003"/>
        </w:numPr>
      </w:pPr>
      <w:r>
        <w:t xml:space="preserve">Are consumers responding to lower price points and pack-size changes?</w:t>
      </w:r>
    </w:p>
    <w:p>
      <w:pPr>
        <w:pStyle w:val="Compact"/>
        <w:numPr>
          <w:ilvl w:val="0"/>
          <w:numId w:val="1003"/>
        </w:numPr>
      </w:pPr>
      <w:r>
        <w:t xml:space="preserve">Has the renewed rise in energy and transportation costs altered the outlook?</w:t>
      </w:r>
    </w:p>
    <w:p>
      <w:pPr>
        <w:pStyle w:val="FirstParagraph"/>
      </w:pPr>
      <w:r>
        <w:t xml:space="preserve">A modest European sales decline accompanied by better volumes and shares could be received positively. A deeper decline caused by elasticity or weaker category demand would challenge management’s recovery narrative.</w:t>
      </w:r>
    </w:p>
    <w:bookmarkEnd w:id="14"/>
    <w:bookmarkStart w:id="15" w:name="Xc5ab152f721c14340a2636544a8d439fedb70d0"/>
    <w:p>
      <w:pPr>
        <w:pStyle w:val="Heading3"/>
      </w:pPr>
      <w:r>
        <w:t xml:space="preserve">3. North America: The clearest opportunity to demonstrate improvement</w:t>
      </w:r>
    </w:p>
    <w:p>
      <w:pPr>
        <w:pStyle w:val="FirstParagraph"/>
      </w:pPr>
      <w:r>
        <w:t xml:space="preserve">North America grew only 0.5% organically in Q1, with volume/mix down 0.4%. Management expects improvement despite subdued U.S. snack categories, arguing that MDLZ can gain share through:</w:t>
      </w:r>
    </w:p>
    <w:p>
      <w:pPr>
        <w:pStyle w:val="Compact"/>
        <w:numPr>
          <w:ilvl w:val="0"/>
          <w:numId w:val="1004"/>
        </w:numPr>
      </w:pPr>
      <w:r>
        <w:t xml:space="preserve">Ritz and savory snacks.</w:t>
      </w:r>
    </w:p>
    <w:p>
      <w:pPr>
        <w:pStyle w:val="Compact"/>
        <w:numPr>
          <w:ilvl w:val="0"/>
          <w:numId w:val="1004"/>
        </w:numPr>
      </w:pPr>
      <w:r>
        <w:t xml:space="preserve">Sour Patch Kids.</w:t>
      </w:r>
    </w:p>
    <w:p>
      <w:pPr>
        <w:pStyle w:val="Compact"/>
        <w:numPr>
          <w:ilvl w:val="0"/>
          <w:numId w:val="1004"/>
        </w:numPr>
      </w:pPr>
      <w:r>
        <w:t xml:space="preserve">Tate’s, Perfect Bar, Hu and other ventures.</w:t>
      </w:r>
    </w:p>
    <w:p>
      <w:pPr>
        <w:pStyle w:val="Compact"/>
        <w:numPr>
          <w:ilvl w:val="0"/>
          <w:numId w:val="1004"/>
        </w:numPr>
      </w:pPr>
      <w:r>
        <w:t xml:space="preserve">Club, value and online channels.</w:t>
      </w:r>
    </w:p>
    <w:p>
      <w:pPr>
        <w:pStyle w:val="Compact"/>
        <w:numPr>
          <w:ilvl w:val="0"/>
          <w:numId w:val="1004"/>
        </w:numPr>
      </w:pPr>
      <w:r>
        <w:t xml:space="preserve">Better pack formats and promotional execution.</w:t>
      </w:r>
    </w:p>
    <w:p>
      <w:pPr>
        <w:pStyle w:val="Compact"/>
        <w:numPr>
          <w:ilvl w:val="0"/>
          <w:numId w:val="1004"/>
        </w:numPr>
      </w:pPr>
      <w:r>
        <w:t xml:space="preserve">Improved Oreo innovation later in the year.</w:t>
      </w:r>
    </w:p>
    <w:p>
      <w:pPr>
        <w:pStyle w:val="FirstParagraph"/>
      </w:pPr>
      <w:r>
        <w:t xml:space="preserve">Consensus calls for approximately 0.4% Q2 growth. That is not a demanding absolute target, although it represents a meaningful improvement from the 3.4% decline a year ago.</w:t>
      </w:r>
    </w:p>
    <w:p>
      <w:pPr>
        <w:pStyle w:val="BodyText"/>
      </w:pPr>
      <w:r>
        <w:t xml:space="preserve">Investors should focus on whether the business has turned positive</w:t>
      </w:r>
      <w:r>
        <w:t xml:space="preserve"> </w:t>
      </w:r>
      <w:r>
        <w:rPr>
          <w:b/>
          <w:bCs/>
        </w:rPr>
        <w:t xml:space="preserve">without relying on aggressive promotions</w:t>
      </w:r>
      <w:r>
        <w:t xml:space="preserve">. Commentary on Oreo will also matter because management acknowledged that its first-quarter limited-time offer underperformed the prior-year launch.</w:t>
      </w:r>
    </w:p>
    <w:bookmarkEnd w:id="15"/>
    <w:bookmarkStart w:id="16" w:name="X508d42302ef723e8e2b9f8d09b296c1fa5ba8ef"/>
    <w:p>
      <w:pPr>
        <w:pStyle w:val="Heading3"/>
      </w:pPr>
      <w:r>
        <w:t xml:space="preserve">4. Emerging markets remain the growth engine</w:t>
      </w:r>
    </w:p>
    <w:p>
      <w:pPr>
        <w:pStyle w:val="FirstParagraph"/>
      </w:pPr>
      <w:r>
        <w:t xml:space="preserve">Emerging markets account for roughly 40% of the company and grew 6.3% organically in Q1, including positive volume/mix. Performance was especially strong in China, India and Brazil, while Mexico was softer.</w:t>
      </w:r>
    </w:p>
    <w:p>
      <w:pPr>
        <w:pStyle w:val="BodyText"/>
      </w:pPr>
      <w:r>
        <w:t xml:space="preserve">The Street expects Latin America and AMEA each to grow more than 4% in Q2. Important indicators include:</w:t>
      </w:r>
    </w:p>
    <w:p>
      <w:pPr>
        <w:pStyle w:val="Compact"/>
        <w:numPr>
          <w:ilvl w:val="0"/>
          <w:numId w:val="1005"/>
        </w:numPr>
      </w:pPr>
      <w:r>
        <w:t xml:space="preserve">Continued distribution gains in India and China.</w:t>
      </w:r>
    </w:p>
    <w:p>
      <w:pPr>
        <w:pStyle w:val="Compact"/>
        <w:numPr>
          <w:ilvl w:val="0"/>
          <w:numId w:val="1005"/>
        </w:numPr>
      </w:pPr>
      <w:r>
        <w:t xml:space="preserve">Biscoff rollout momentum.</w:t>
      </w:r>
    </w:p>
    <w:p>
      <w:pPr>
        <w:pStyle w:val="Compact"/>
        <w:numPr>
          <w:ilvl w:val="0"/>
          <w:numId w:val="1005"/>
        </w:numPr>
      </w:pPr>
      <w:r>
        <w:t xml:space="preserve">Evirth cakes-and-pastries performance in China.</w:t>
      </w:r>
    </w:p>
    <w:p>
      <w:pPr>
        <w:pStyle w:val="Compact"/>
        <w:numPr>
          <w:ilvl w:val="0"/>
          <w:numId w:val="1005"/>
        </w:numPr>
      </w:pPr>
      <w:r>
        <w:t xml:space="preserve">Whether Brazil maintains broad-based growth.</w:t>
      </w:r>
    </w:p>
    <w:p>
      <w:pPr>
        <w:pStyle w:val="Compact"/>
        <w:numPr>
          <w:ilvl w:val="0"/>
          <w:numId w:val="1005"/>
        </w:numPr>
      </w:pPr>
      <w:r>
        <w:t xml:space="preserve">Improvement in Mexico.</w:t>
      </w:r>
    </w:p>
    <w:p>
      <w:pPr>
        <w:pStyle w:val="Compact"/>
        <w:numPr>
          <w:ilvl w:val="0"/>
          <w:numId w:val="1005"/>
        </w:numPr>
      </w:pPr>
      <w:r>
        <w:t xml:space="preserve">The balance between pricing and underlying consumption.</w:t>
      </w:r>
    </w:p>
    <w:p>
      <w:pPr>
        <w:pStyle w:val="FirstParagraph"/>
      </w:pPr>
      <w:r>
        <w:t xml:space="preserve">Strong emerging-market results could offset developed-market softness, but investors will distinguish between sustainable volume/distribution gains and inflation-driven pricing in highly inflationary markets.</w:t>
      </w:r>
    </w:p>
    <w:p>
      <w:r>
        <w:pict>
          <v:rect style="width:0;height:1.5pt" o:hralign="center" o:hrstd="t" o:hr="t"/>
        </w:pict>
      </w:r>
    </w:p>
    <w:bookmarkEnd w:id="16"/>
    <w:bookmarkEnd w:id="17"/>
    <w:bookmarkStart w:id="18" w:name="the-margin-debate"/>
    <w:p>
      <w:pPr>
        <w:pStyle w:val="Heading2"/>
      </w:pPr>
      <w:r>
        <w:t xml:space="preserve">The margin debate</w:t>
      </w:r>
    </w:p>
    <w:p>
      <w:pPr>
        <w:pStyle w:val="FirstParagraph"/>
      </w:pPr>
      <w:r>
        <w:t xml:space="preserve">Q1 adjusted gross margin fell</w:t>
      </w:r>
      <w:r>
        <w:t xml:space="preserve"> </w:t>
      </w:r>
      <w:r>
        <w:rPr>
          <w:b/>
          <w:bCs/>
        </w:rPr>
        <w:t xml:space="preserve">270 basis points to 30.7%</w:t>
      </w:r>
      <w:r>
        <w:t xml:space="preserve">, while adjusted operating margin declined</w:t>
      </w:r>
      <w:r>
        <w:t xml:space="preserve"> </w:t>
      </w:r>
      <w:r>
        <w:rPr>
          <w:b/>
          <w:bCs/>
        </w:rPr>
        <w:t xml:space="preserve">310 basis points to 11.7%</w:t>
      </w:r>
      <w:r>
        <w:t xml:space="preserve">. Higher input costs, negative mix, increased advertising and higher overhead more than offset pricing and productivity.</w:t>
      </w:r>
    </w:p>
    <w:p>
      <w:pPr>
        <w:pStyle w:val="BodyText"/>
      </w:pPr>
      <w:r>
        <w:t xml:space="preserve">Q2 2025 provides an easier but still demanding comparison:</w:t>
      </w:r>
    </w:p>
    <w:p>
      <w:pPr>
        <w:pStyle w:val="Compact"/>
        <w:numPr>
          <w:ilvl w:val="0"/>
          <w:numId w:val="1006"/>
        </w:numPr>
      </w:pPr>
      <w:r>
        <w:t xml:space="preserve">Adjusted gross margin:</w:t>
      </w:r>
      <w:r>
        <w:t xml:space="preserve"> </w:t>
      </w:r>
      <w:r>
        <w:rPr>
          <w:b/>
          <w:bCs/>
        </w:rPr>
        <w:t xml:space="preserve">33.7%</w:t>
      </w:r>
    </w:p>
    <w:p>
      <w:pPr>
        <w:pStyle w:val="Compact"/>
        <w:numPr>
          <w:ilvl w:val="0"/>
          <w:numId w:val="1006"/>
        </w:numPr>
      </w:pPr>
      <w:r>
        <w:t xml:space="preserve">Adjusted operating margin:</w:t>
      </w:r>
      <w:r>
        <w:t xml:space="preserve"> </w:t>
      </w:r>
      <w:r>
        <w:rPr>
          <w:b/>
          <w:bCs/>
        </w:rPr>
        <w:t xml:space="preserve">14.3%</w:t>
      </w:r>
    </w:p>
    <w:p>
      <w:pPr>
        <w:pStyle w:val="FirstParagraph"/>
      </w:pPr>
      <w:r>
        <w:t xml:space="preserve">The main issue is the lag between cocoa costs and pricing. Even though spot cocoa has eased substantially from prior highs, MDLZ’s reported costs reflect prior hedging and inventory positions. Management said in April that the industry had extended cocoa coverage and that MDLZ remained protected on several other inputs. Lower cocoa prices are therefore more relevant to</w:t>
      </w:r>
      <w:r>
        <w:t xml:space="preserve"> </w:t>
      </w:r>
      <w:r>
        <w:rPr>
          <w:b/>
          <w:bCs/>
        </w:rPr>
        <w:t xml:space="preserve">2027 earnings potential</w:t>
      </w:r>
      <w:r>
        <w:t xml:space="preserve"> </w:t>
      </w:r>
      <w:r>
        <w:t xml:space="preserve">than to an immediate Q2 windfall.</w:t>
      </w:r>
    </w:p>
    <w:p>
      <w:pPr>
        <w:pStyle w:val="BodyText"/>
      </w:pPr>
      <w:r>
        <w:t xml:space="preserve">A constructive report would show:</w:t>
      </w:r>
    </w:p>
    <w:p>
      <w:pPr>
        <w:pStyle w:val="Compact"/>
        <w:numPr>
          <w:ilvl w:val="0"/>
          <w:numId w:val="1007"/>
        </w:numPr>
      </w:pPr>
      <w:r>
        <w:t xml:space="preserve">Less severe year-over-year margin contraction than in Q1.</w:t>
      </w:r>
    </w:p>
    <w:p>
      <w:pPr>
        <w:pStyle w:val="Compact"/>
        <w:numPr>
          <w:ilvl w:val="0"/>
          <w:numId w:val="1007"/>
        </w:numPr>
      </w:pPr>
      <w:r>
        <w:t xml:space="preserve">Pricing increasingly catching up with input costs.</w:t>
      </w:r>
    </w:p>
    <w:p>
      <w:pPr>
        <w:pStyle w:val="Compact"/>
        <w:numPr>
          <w:ilvl w:val="0"/>
          <w:numId w:val="1007"/>
        </w:numPr>
      </w:pPr>
      <w:r>
        <w:t xml:space="preserve">Strong manufacturing productivity.</w:t>
      </w:r>
    </w:p>
    <w:p>
      <w:pPr>
        <w:pStyle w:val="Compact"/>
        <w:numPr>
          <w:ilvl w:val="0"/>
          <w:numId w:val="1007"/>
        </w:numPr>
      </w:pPr>
      <w:r>
        <w:t xml:space="preserve">Favorable mix from emerging-market growth.</w:t>
      </w:r>
    </w:p>
    <w:p>
      <w:pPr>
        <w:pStyle w:val="Compact"/>
        <w:numPr>
          <w:ilvl w:val="0"/>
          <w:numId w:val="1007"/>
        </w:numPr>
      </w:pPr>
      <w:r>
        <w:t xml:space="preserve">No material deterioration from Middle East-related transportation and energy costs.</w:t>
      </w:r>
    </w:p>
    <w:p>
      <w:pPr>
        <w:pStyle w:val="FirstParagraph"/>
      </w:pPr>
      <w:r>
        <w:t xml:space="preserve">Investors should be cautious about GAAP margin and EPS volatility because mark-to-market changes in commodity and currency hedges can produce large reported adjustments. Adjusted results remain the better measure of underlying performance.</w:t>
      </w:r>
    </w:p>
    <w:p>
      <w:r>
        <w:pict>
          <v:rect style="width:0;height:1.5pt" o:hralign="center" o:hrstd="t" o:hr="t"/>
        </w:pict>
      </w:r>
    </w:p>
    <w:bookmarkEnd w:id="18"/>
    <w:bookmarkStart w:id="21" w:name="Xed861cb772e10eb4fb974ad83a6cd548ff3a965"/>
    <w:p>
      <w:pPr>
        <w:pStyle w:val="Heading2"/>
      </w:pPr>
      <w:r>
        <w:t xml:space="preserve">Guidance: The most important part of the report</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outlook</w:t>
            </w:r>
          </w:p>
        </w:tc>
      </w:tr>
      <w:tr>
        <w:tc>
          <w:tcPr/>
          <w:p>
            <w:pPr>
              <w:pStyle w:val="Compact"/>
            </w:pPr>
            <w:r>
              <w:t xml:space="preserve">Organic net revenue growth</w:t>
            </w:r>
          </w:p>
        </w:tc>
        <w:tc>
          <w:tcPr/>
          <w:p>
            <w:pPr>
              <w:pStyle w:val="Compact"/>
              <w:jc w:val="right"/>
            </w:pPr>
            <w:r>
              <w:rPr>
                <w:b/>
                <w:bCs/>
              </w:rPr>
              <w:t xml:space="preserve">0%–2%</w:t>
            </w:r>
          </w:p>
        </w:tc>
      </w:tr>
      <w:tr>
        <w:tc>
          <w:tcPr/>
          <w:p>
            <w:pPr>
              <w:pStyle w:val="Compact"/>
            </w:pPr>
            <w:r>
              <w:t xml:space="preserve">Adjusted EPS growth, constant currency</w:t>
            </w:r>
          </w:p>
        </w:tc>
        <w:tc>
          <w:tcPr/>
          <w:p>
            <w:pPr>
              <w:pStyle w:val="Compact"/>
              <w:jc w:val="right"/>
            </w:pPr>
            <w:r>
              <w:rPr>
                <w:b/>
                <w:bCs/>
              </w:rPr>
              <w:t xml:space="preserve">0%–5%</w:t>
            </w:r>
          </w:p>
        </w:tc>
      </w:tr>
      <w:tr>
        <w:tc>
          <w:tcPr/>
          <w:p>
            <w:pPr>
              <w:pStyle w:val="Compact"/>
            </w:pPr>
            <w:r>
              <w:t xml:space="preserve">Free cash flow</w:t>
            </w:r>
          </w:p>
        </w:tc>
        <w:tc>
          <w:tcPr/>
          <w:p>
            <w:pPr>
              <w:pStyle w:val="Compact"/>
              <w:jc w:val="right"/>
            </w:pPr>
            <w:r>
              <w:rPr>
                <w:b/>
                <w:bCs/>
              </w:rPr>
              <w:t xml:space="preserve">Approximately $3 billion</w:t>
            </w:r>
          </w:p>
        </w:tc>
      </w:tr>
      <w:tr>
        <w:tc>
          <w:tcPr/>
          <w:p>
            <w:pPr>
              <w:pStyle w:val="Compact"/>
            </w:pPr>
            <w:r>
              <w:t xml:space="preserve">Estimated currency benefit at Q1 rates</w:t>
            </w:r>
          </w:p>
        </w:tc>
        <w:tc>
          <w:tcPr/>
          <w:p>
            <w:pPr>
              <w:pStyle w:val="Compact"/>
              <w:jc w:val="right"/>
            </w:pPr>
            <w:r>
              <w:rPr>
                <w:b/>
                <w:bCs/>
              </w:rPr>
              <w:t xml:space="preserve">~2 points to revenue; $0.06 to EPS</w:t>
            </w:r>
          </w:p>
        </w:tc>
      </w:tr>
    </w:tbl>
    <w:p>
      <w:pPr>
        <w:pStyle w:val="BodyText"/>
      </w:pPr>
      <w:r>
        <w:t xml:space="preserve">Management said Q1 came in ahead of its expectations but retained guidance because of geopolitical costs and its desire to reinvest upside in brands and growth initiatives. That makes an outright guidance increase less likely unless Q2 is particularly strong.</w:t>
      </w:r>
    </w:p>
    <w:bookmarkStart w:id="19" w:name="what-would-count-as-positive"/>
    <w:p>
      <w:pPr>
        <w:pStyle w:val="Heading3"/>
      </w:pPr>
      <w:r>
        <w:t xml:space="preserve">What would count as positive?</w:t>
      </w:r>
    </w:p>
    <w:p>
      <w:pPr>
        <w:pStyle w:val="Compact"/>
        <w:numPr>
          <w:ilvl w:val="0"/>
          <w:numId w:val="1008"/>
        </w:numPr>
      </w:pPr>
      <w:r>
        <w:t xml:space="preserve">Reaffirming guidance with increased confidence in the upper half.</w:t>
      </w:r>
    </w:p>
    <w:p>
      <w:pPr>
        <w:pStyle w:val="Compact"/>
        <w:numPr>
          <w:ilvl w:val="0"/>
          <w:numId w:val="1008"/>
        </w:numPr>
      </w:pPr>
      <w:r>
        <w:t xml:space="preserve">Better developed-market volumes.</w:t>
      </w:r>
    </w:p>
    <w:p>
      <w:pPr>
        <w:pStyle w:val="Compact"/>
        <w:numPr>
          <w:ilvl w:val="0"/>
          <w:numId w:val="1008"/>
        </w:numPr>
      </w:pPr>
      <w:r>
        <w:t xml:space="preserve">Evidence that full-year margin recovery is on track.</w:t>
      </w:r>
    </w:p>
    <w:p>
      <w:pPr>
        <w:pStyle w:val="Compact"/>
        <w:numPr>
          <w:ilvl w:val="0"/>
          <w:numId w:val="1008"/>
        </w:numPr>
      </w:pPr>
      <w:r>
        <w:t xml:space="preserve">Stronger visibility into 2027 cocoa relief and EPS growth.</w:t>
      </w:r>
    </w:p>
    <w:p>
      <w:pPr>
        <w:pStyle w:val="Compact"/>
        <w:numPr>
          <w:ilvl w:val="0"/>
          <w:numId w:val="1008"/>
        </w:numPr>
      </w:pPr>
      <w:r>
        <w:t xml:space="preserve">No meaningful increase in geopolitical or tariff-related costs.</w:t>
      </w:r>
    </w:p>
    <w:bookmarkEnd w:id="19"/>
    <w:bookmarkStart w:id="20" w:name="what-would-count-as-disappointing"/>
    <w:p>
      <w:pPr>
        <w:pStyle w:val="Heading3"/>
      </w:pPr>
      <w:r>
        <w:t xml:space="preserve">What would count as disappointing?</w:t>
      </w:r>
    </w:p>
    <w:p>
      <w:pPr>
        <w:pStyle w:val="Compact"/>
        <w:numPr>
          <w:ilvl w:val="0"/>
          <w:numId w:val="1009"/>
        </w:numPr>
      </w:pPr>
      <w:r>
        <w:t xml:space="preserve">Guidance maintained only because of currency benefits.</w:t>
      </w:r>
    </w:p>
    <w:p>
      <w:pPr>
        <w:pStyle w:val="Compact"/>
        <w:numPr>
          <w:ilvl w:val="0"/>
          <w:numId w:val="1009"/>
        </w:numPr>
      </w:pPr>
      <w:r>
        <w:t xml:space="preserve">Organic growth tracking toward the bottom of the range.</w:t>
      </w:r>
    </w:p>
    <w:p>
      <w:pPr>
        <w:pStyle w:val="Compact"/>
        <w:numPr>
          <w:ilvl w:val="0"/>
          <w:numId w:val="1009"/>
        </w:numPr>
      </w:pPr>
      <w:r>
        <w:t xml:space="preserve">Continued developed-market volume deterioration.</w:t>
      </w:r>
    </w:p>
    <w:p>
      <w:pPr>
        <w:pStyle w:val="Compact"/>
        <w:numPr>
          <w:ilvl w:val="0"/>
          <w:numId w:val="1009"/>
        </w:numPr>
      </w:pPr>
      <w:r>
        <w:t xml:space="preserve">Additional cost pressures that push expected EPS toward the low end.</w:t>
      </w:r>
    </w:p>
    <w:p>
      <w:pPr>
        <w:pStyle w:val="Compact"/>
        <w:numPr>
          <w:ilvl w:val="0"/>
          <w:numId w:val="1009"/>
        </w:numPr>
      </w:pPr>
      <w:r>
        <w:t xml:space="preserve">More cautious language regarding the anticipated 2027 earnings rebound.</w:t>
      </w:r>
    </w:p>
    <w:p>
      <w:pPr>
        <w:pStyle w:val="FirstParagraph"/>
      </w:pPr>
      <w:r>
        <w:t xml:space="preserve">The</w:t>
      </w:r>
      <w:r>
        <w:t xml:space="preserve"> </w:t>
      </w:r>
      <w:r>
        <w:rPr>
          <w:b/>
          <w:bCs/>
        </w:rPr>
        <w:t xml:space="preserve">quality and confidence level</w:t>
      </w:r>
      <w:r>
        <w:t xml:space="preserve"> </w:t>
      </w:r>
      <w:r>
        <w:t xml:space="preserve">behind a guidance reaffirmation may matter more than whether management changes the numerical ranges.</w:t>
      </w:r>
    </w:p>
    <w:p>
      <w:r>
        <w:pict>
          <v:rect style="width:0;height:1.5pt" o:hralign="center" o:hrstd="t" o:hr="t"/>
        </w:pict>
      </w:r>
    </w:p>
    <w:bookmarkEnd w:id="20"/>
    <w:bookmarkEnd w:id="21"/>
    <w:bookmarkStart w:id="22" w:name="first-report-under-the-new-cfo-structure"/>
    <w:p>
      <w:pPr>
        <w:pStyle w:val="Heading2"/>
      </w:pPr>
      <w:r>
        <w:t xml:space="preserve">First report under the new CFO structure</w:t>
      </w:r>
    </w:p>
    <w:p>
      <w:pPr>
        <w:pStyle w:val="FirstParagraph"/>
      </w:pPr>
      <w:r>
        <w:t xml:space="preserve">Amit Banati became CFO on July 1, succeeding Luca Zaramella, who remains with the company as COO and now focuses on commercial operations, sales, marketing and supply chain.</w:t>
      </w:r>
    </w:p>
    <w:p>
      <w:pPr>
        <w:pStyle w:val="BodyText"/>
      </w:pPr>
      <w:r>
        <w:t xml:space="preserve">The transition should provide continuity, but investors will listen for Banati’s initial views on:</w:t>
      </w:r>
    </w:p>
    <w:p>
      <w:pPr>
        <w:pStyle w:val="Compact"/>
        <w:numPr>
          <w:ilvl w:val="0"/>
          <w:numId w:val="1010"/>
        </w:numPr>
      </w:pPr>
      <w:r>
        <w:t xml:space="preserve">Margin recovery.</w:t>
      </w:r>
    </w:p>
    <w:p>
      <w:pPr>
        <w:pStyle w:val="Compact"/>
        <w:numPr>
          <w:ilvl w:val="0"/>
          <w:numId w:val="1010"/>
        </w:numPr>
      </w:pPr>
      <w:r>
        <w:t xml:space="preserve">Capital allocation and leverage.</w:t>
      </w:r>
    </w:p>
    <w:p>
      <w:pPr>
        <w:pStyle w:val="Compact"/>
        <w:numPr>
          <w:ilvl w:val="0"/>
          <w:numId w:val="1010"/>
        </w:numPr>
      </w:pPr>
      <w:r>
        <w:t xml:space="preserve">Share repurchases.</w:t>
      </w:r>
    </w:p>
    <w:p>
      <w:pPr>
        <w:pStyle w:val="Compact"/>
        <w:numPr>
          <w:ilvl w:val="0"/>
          <w:numId w:val="1010"/>
        </w:numPr>
      </w:pPr>
      <w:r>
        <w:t xml:space="preserve">Free-cash-flow conversion.</w:t>
      </w:r>
    </w:p>
    <w:p>
      <w:pPr>
        <w:pStyle w:val="Compact"/>
        <w:numPr>
          <w:ilvl w:val="0"/>
          <w:numId w:val="1010"/>
        </w:numPr>
      </w:pPr>
      <w:r>
        <w:t xml:space="preserve">Productivity and restructuring.</w:t>
      </w:r>
    </w:p>
    <w:p>
      <w:pPr>
        <w:pStyle w:val="Compact"/>
        <w:numPr>
          <w:ilvl w:val="0"/>
          <w:numId w:val="1010"/>
        </w:numPr>
      </w:pPr>
      <w:r>
        <w:t xml:space="preserve">The balance between reinvestment and near-term EPS delivery.</w:t>
      </w:r>
    </w:p>
    <w:p>
      <w:pPr>
        <w:pStyle w:val="FirstParagraph"/>
      </w:pPr>
      <w:r>
        <w:t xml:space="preserve">This is unlikely to change the quarter’s fundamentals, but it could influence how investors assess management’s longer-term financial framework.</w:t>
      </w:r>
    </w:p>
    <w:p>
      <w:r>
        <w:pict>
          <v:rect style="width:0;height:1.5pt" o:hralign="center" o:hrstd="t" o:hr="t"/>
        </w:pict>
      </w:r>
    </w:p>
    <w:bookmarkEnd w:id="22"/>
    <w:bookmarkStart w:id="23" w:name="stock-setup"/>
    <w:p>
      <w:pPr>
        <w:pStyle w:val="Heading2"/>
      </w:pPr>
      <w:r>
        <w:t xml:space="preserve">Stock setup</w:t>
      </w:r>
    </w:p>
    <w:p>
      <w:pPr>
        <w:pStyle w:val="FirstParagraph"/>
      </w:pPr>
      <w:r>
        <w:t xml:space="preserve">Through July 27, MDLZ had gained approximately</w:t>
      </w:r>
      <w:r>
        <w:t xml:space="preserve"> </w:t>
      </w:r>
      <w:r>
        <w:rPr>
          <w:b/>
          <w:bCs/>
        </w:rPr>
        <w:t xml:space="preserve">13% year to date</w:t>
      </w:r>
      <w:r>
        <w:t xml:space="preserve">, compared with roughly 10% for the Consumer Staples Select Sector SPDR and 8% for the S&amp;P 500. The shares were also about 4% above their April 28 pre-Q1-report close.</w:t>
      </w:r>
    </w:p>
    <w:p>
      <w:pPr>
        <w:pStyle w:val="BodyText"/>
      </w:pPr>
      <w:r>
        <w:t xml:space="preserve">That relative strength suggests investors already give MDLZ some credit for improving volumes, lower future cocoa costs and stronger 2027 earnings. The setup is not excessively bullish, given weak sentiment toward packaged food generally, but the stock may require more than a narrow EPS beat to move materially higher.</w:t>
      </w:r>
    </w:p>
    <w:p>
      <w:r>
        <w:pict>
          <v:rect style="width:0;height:1.5pt" o:hralign="center" o:hrstd="t" o:hr="t"/>
        </w:pict>
      </w:r>
    </w:p>
    <w:bookmarkEnd w:id="23"/>
    <w:bookmarkStart w:id="27" w:name="potential-reaction-framework"/>
    <w:p>
      <w:pPr>
        <w:pStyle w:val="Heading2"/>
      </w:pPr>
      <w:r>
        <w:t xml:space="preserve">Potential reaction framework</w:t>
      </w:r>
    </w:p>
    <w:bookmarkStart w:id="24" w:name="bull-case"/>
    <w:p>
      <w:pPr>
        <w:pStyle w:val="Heading3"/>
      </w:pPr>
      <w:r>
        <w:t xml:space="preserve">Bull case</w:t>
      </w:r>
    </w:p>
    <w:p>
      <w:pPr>
        <w:pStyle w:val="Compact"/>
        <w:numPr>
          <w:ilvl w:val="0"/>
          <w:numId w:val="1011"/>
        </w:numPr>
      </w:pPr>
      <w:r>
        <w:t xml:space="preserve">Organic growth above 1%, supported by improved volume/mix.</w:t>
      </w:r>
    </w:p>
    <w:p>
      <w:pPr>
        <w:pStyle w:val="Compact"/>
        <w:numPr>
          <w:ilvl w:val="0"/>
          <w:numId w:val="1011"/>
        </w:numPr>
      </w:pPr>
      <w:r>
        <w:t xml:space="preserve">North America turns convincingly positive.</w:t>
      </w:r>
    </w:p>
    <w:p>
      <w:pPr>
        <w:pStyle w:val="Compact"/>
        <w:numPr>
          <w:ilvl w:val="0"/>
          <w:numId w:val="1011"/>
        </w:numPr>
      </w:pPr>
      <w:r>
        <w:t xml:space="preserve">European volume and share trends improve despite negative reported organic growth.</w:t>
      </w:r>
    </w:p>
    <w:p>
      <w:pPr>
        <w:pStyle w:val="Compact"/>
        <w:numPr>
          <w:ilvl w:val="0"/>
          <w:numId w:val="1011"/>
        </w:numPr>
      </w:pPr>
      <w:r>
        <w:t xml:space="preserve">Gross-margin pressure moderates.</w:t>
      </w:r>
    </w:p>
    <w:p>
      <w:pPr>
        <w:pStyle w:val="Compact"/>
        <w:numPr>
          <w:ilvl w:val="0"/>
          <w:numId w:val="1011"/>
        </w:numPr>
      </w:pPr>
      <w:r>
        <w:t xml:space="preserve">Management signals confidence toward the upper half of 2026 guidance.</w:t>
      </w:r>
    </w:p>
    <w:p>
      <w:pPr>
        <w:pStyle w:val="Compact"/>
        <w:numPr>
          <w:ilvl w:val="0"/>
          <w:numId w:val="1011"/>
        </w:numPr>
      </w:pPr>
      <w:r>
        <w:t xml:space="preserve">Clear line of sight to strong 2027 EPS growth.</w:t>
      </w:r>
    </w:p>
    <w:bookmarkEnd w:id="24"/>
    <w:bookmarkStart w:id="25" w:name="base-case"/>
    <w:p>
      <w:pPr>
        <w:pStyle w:val="Heading3"/>
      </w:pPr>
      <w:r>
        <w:t xml:space="preserve">Base case</w:t>
      </w:r>
    </w:p>
    <w:p>
      <w:pPr>
        <w:pStyle w:val="Compact"/>
        <w:numPr>
          <w:ilvl w:val="0"/>
          <w:numId w:val="1012"/>
        </w:numPr>
      </w:pPr>
      <w:r>
        <w:t xml:space="preserve">Results roughly match $0.68 EPS and 1% organic growth.</w:t>
      </w:r>
    </w:p>
    <w:p>
      <w:pPr>
        <w:pStyle w:val="Compact"/>
        <w:numPr>
          <w:ilvl w:val="0"/>
          <w:numId w:val="1012"/>
        </w:numPr>
      </w:pPr>
      <w:r>
        <w:t xml:space="preserve">Emerging markets remain strong.</w:t>
      </w:r>
    </w:p>
    <w:p>
      <w:pPr>
        <w:pStyle w:val="Compact"/>
        <w:numPr>
          <w:ilvl w:val="0"/>
          <w:numId w:val="1012"/>
        </w:numPr>
      </w:pPr>
      <w:r>
        <w:t xml:space="preserve">Europe is weak on difficult comparisons, but underlying volumes improve.</w:t>
      </w:r>
    </w:p>
    <w:p>
      <w:pPr>
        <w:pStyle w:val="Compact"/>
        <w:numPr>
          <w:ilvl w:val="0"/>
          <w:numId w:val="1012"/>
        </w:numPr>
      </w:pPr>
      <w:r>
        <w:t xml:space="preserve">North America posts modest growth.</w:t>
      </w:r>
    </w:p>
    <w:p>
      <w:pPr>
        <w:pStyle w:val="Compact"/>
        <w:numPr>
          <w:ilvl w:val="0"/>
          <w:numId w:val="1012"/>
        </w:numPr>
      </w:pPr>
      <w:r>
        <w:t xml:space="preserve">Guidance is reaffirmed without a major change in tone.</w:t>
      </w:r>
    </w:p>
    <w:p>
      <w:pPr>
        <w:pStyle w:val="FirstParagraph"/>
      </w:pPr>
      <w:r>
        <w:t xml:space="preserve">In this scenario, the call’s discussion of margins and 2027 would probably determine the stock reaction.</w:t>
      </w:r>
    </w:p>
    <w:bookmarkEnd w:id="25"/>
    <w:bookmarkStart w:id="26" w:name="bear-case"/>
    <w:p>
      <w:pPr>
        <w:pStyle w:val="Heading3"/>
      </w:pPr>
      <w:r>
        <w:t xml:space="preserve">Bear case</w:t>
      </w:r>
    </w:p>
    <w:p>
      <w:pPr>
        <w:pStyle w:val="Compact"/>
        <w:numPr>
          <w:ilvl w:val="0"/>
          <w:numId w:val="1013"/>
        </w:numPr>
      </w:pPr>
      <w:r>
        <w:t xml:space="preserve">Organic growth falls below zero or is driven entirely by pricing.</w:t>
      </w:r>
    </w:p>
    <w:p>
      <w:pPr>
        <w:pStyle w:val="Compact"/>
        <w:numPr>
          <w:ilvl w:val="0"/>
          <w:numId w:val="1013"/>
        </w:numPr>
      </w:pPr>
      <w:r>
        <w:t xml:space="preserve">Europe’s decline is worse than expected and share trends reverse.</w:t>
      </w:r>
    </w:p>
    <w:p>
      <w:pPr>
        <w:pStyle w:val="Compact"/>
        <w:numPr>
          <w:ilvl w:val="0"/>
          <w:numId w:val="1013"/>
        </w:numPr>
      </w:pPr>
      <w:r>
        <w:t xml:space="preserve">North America fails to inflect.</w:t>
      </w:r>
    </w:p>
    <w:p>
      <w:pPr>
        <w:pStyle w:val="Compact"/>
        <w:numPr>
          <w:ilvl w:val="0"/>
          <w:numId w:val="1013"/>
        </w:numPr>
      </w:pPr>
      <w:r>
        <w:t xml:space="preserve">Margin pressure remains close to Q1 levels.</w:t>
      </w:r>
    </w:p>
    <w:p>
      <w:pPr>
        <w:pStyle w:val="Compact"/>
        <w:numPr>
          <w:ilvl w:val="0"/>
          <w:numId w:val="1013"/>
        </w:numPr>
      </w:pPr>
      <w:r>
        <w:t xml:space="preserve">Higher energy, transportation or tariff costs threaten the low end of EPS guidance.</w:t>
      </w:r>
    </w:p>
    <w:p>
      <w:pPr>
        <w:pStyle w:val="Compact"/>
        <w:numPr>
          <w:ilvl w:val="0"/>
          <w:numId w:val="1013"/>
        </w:numPr>
      </w:pPr>
      <w:r>
        <w:t xml:space="preserve">Management becomes less explicit about strong 2027 earnings growth.</w:t>
      </w:r>
    </w:p>
    <w:p>
      <w:r>
        <w:pict>
          <v:rect style="width:0;height:1.5pt" o:hralign="center" o:hrstd="t" o:hr="t"/>
        </w:pict>
      </w:r>
    </w:p>
    <w:bookmarkEnd w:id="26"/>
    <w:bookmarkEnd w:id="27"/>
    <w:bookmarkStart w:id="28" w:name="questions-investors-should-want-answered"/>
    <w:p>
      <w:pPr>
        <w:pStyle w:val="Heading2"/>
      </w:pPr>
      <w:r>
        <w:t xml:space="preserve">Questions investors should want answered</w:t>
      </w:r>
    </w:p>
    <w:p>
      <w:pPr>
        <w:pStyle w:val="Compact"/>
        <w:numPr>
          <w:ilvl w:val="0"/>
          <w:numId w:val="1014"/>
        </w:numPr>
      </w:pPr>
      <w:r>
        <w:rPr>
          <w:b/>
          <w:bCs/>
        </w:rPr>
        <w:t xml:space="preserve">Did total-company volume/mix improve from Q1’s negative 0.5%?</w:t>
      </w:r>
    </w:p>
    <w:p>
      <w:pPr>
        <w:pStyle w:val="Compact"/>
        <w:numPr>
          <w:ilvl w:val="0"/>
          <w:numId w:val="1014"/>
        </w:numPr>
      </w:pPr>
      <w:r>
        <w:rPr>
          <w:b/>
          <w:bCs/>
        </w:rPr>
        <w:t xml:space="preserve">Has European chocolate returned to positive underlying volume and share growth?</w:t>
      </w:r>
    </w:p>
    <w:p>
      <w:pPr>
        <w:pStyle w:val="Compact"/>
        <w:numPr>
          <w:ilvl w:val="0"/>
          <w:numId w:val="1014"/>
        </w:numPr>
      </w:pPr>
      <w:r>
        <w:rPr>
          <w:b/>
          <w:bCs/>
        </w:rPr>
        <w:t xml:space="preserve">Is North American growth now positive, and how much is coming from promotion?</w:t>
      </w:r>
    </w:p>
    <w:p>
      <w:pPr>
        <w:pStyle w:val="Compact"/>
        <w:numPr>
          <w:ilvl w:val="0"/>
          <w:numId w:val="1014"/>
        </w:numPr>
      </w:pPr>
      <w:r>
        <w:rPr>
          <w:b/>
          <w:bCs/>
        </w:rPr>
        <w:t xml:space="preserve">How much pricing remains to flow through the P&amp;L?</w:t>
      </w:r>
    </w:p>
    <w:p>
      <w:pPr>
        <w:pStyle w:val="Compact"/>
        <w:numPr>
          <w:ilvl w:val="0"/>
          <w:numId w:val="1014"/>
        </w:numPr>
      </w:pPr>
      <w:r>
        <w:rPr>
          <w:b/>
          <w:bCs/>
        </w:rPr>
        <w:t xml:space="preserve">When will lower cocoa costs begin to benefit reported margins?</w:t>
      </w:r>
    </w:p>
    <w:p>
      <w:pPr>
        <w:pStyle w:val="Compact"/>
        <w:numPr>
          <w:ilvl w:val="0"/>
          <w:numId w:val="1014"/>
        </w:numPr>
      </w:pPr>
      <w:r>
        <w:rPr>
          <w:b/>
          <w:bCs/>
        </w:rPr>
        <w:t xml:space="preserve">Have energy, transportation and geopolitical costs increased since April?</w:t>
      </w:r>
    </w:p>
    <w:p>
      <w:pPr>
        <w:pStyle w:val="Compact"/>
        <w:numPr>
          <w:ilvl w:val="0"/>
          <w:numId w:val="1014"/>
        </w:numPr>
      </w:pPr>
      <w:r>
        <w:rPr>
          <w:b/>
          <w:bCs/>
        </w:rPr>
        <w:t xml:space="preserve">Is management tracking toward the upper or lower half of its EPS range?</w:t>
      </w:r>
    </w:p>
    <w:p>
      <w:pPr>
        <w:pStyle w:val="Compact"/>
        <w:numPr>
          <w:ilvl w:val="0"/>
          <w:numId w:val="1014"/>
        </w:numPr>
      </w:pPr>
      <w:r>
        <w:rPr>
          <w:b/>
          <w:bCs/>
        </w:rPr>
        <w:t xml:space="preserve">What supports the expectation for strong 2027 EPS growth?</w:t>
      </w:r>
    </w:p>
    <w:p>
      <w:pPr>
        <w:pStyle w:val="Compact"/>
        <w:numPr>
          <w:ilvl w:val="0"/>
          <w:numId w:val="1014"/>
        </w:numPr>
      </w:pPr>
      <w:r>
        <w:rPr>
          <w:b/>
          <w:bCs/>
        </w:rPr>
        <w:t xml:space="preserve">Is the approximately $3 billion free-cash-flow target still secure after weak Q1 cash generation?</w:t>
      </w:r>
    </w:p>
    <w:p>
      <w:pPr>
        <w:pStyle w:val="Compact"/>
        <w:numPr>
          <w:ilvl w:val="0"/>
          <w:numId w:val="1014"/>
        </w:numPr>
      </w:pPr>
      <w:r>
        <w:rPr>
          <w:b/>
          <w:bCs/>
        </w:rPr>
        <w:t xml:space="preserve">How does the new CFO view capital allocation and the pace of share repurchases?</w:t>
      </w:r>
    </w:p>
    <w:bookmarkEnd w:id="28"/>
    <w:bookmarkStart w:id="29" w:name="bottom-line"/>
    <w:p>
      <w:pPr>
        <w:pStyle w:val="Heading2"/>
      </w:pPr>
      <w:r>
        <w:t xml:space="preserve">Bottom line</w:t>
      </w:r>
    </w:p>
    <w:p>
      <w:pPr>
        <w:pStyle w:val="FirstParagraph"/>
      </w:pPr>
      <w:r>
        <w:t xml:space="preserve">The headline bar—approximately</w:t>
      </w:r>
      <w:r>
        <w:t xml:space="preserve"> </w:t>
      </w:r>
      <w:r>
        <w:rPr>
          <w:b/>
          <w:bCs/>
        </w:rPr>
        <w:t xml:space="preserve">$0.68 of adjusted EPS and 1% organic growth—is manageable</w:t>
      </w:r>
      <w:r>
        <w:t xml:space="preserve">. But the more consequential test is whether MDLZ can demonstrate that developed-market volumes are turning while margin pressure begins to moderate.</w:t>
      </w:r>
    </w:p>
    <w:p>
      <w:pPr>
        <w:pStyle w:val="BodyText"/>
      </w:pPr>
      <w:r>
        <w:t xml:space="preserve">The strongest report would combine resilient emerging markets with real North American and European volume improvement, allowing investors to look through another year-over-year EPS decline toward a more convincing 2027 recovery. Conversely, another quarter dominated by pricing, negative volumes and heavy margin compression would weaken the thesis that the worst of the cocoa shock is moving into the rearview mirror.</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mondelezinternational.com/news-releases/news-release-details/mondelez-international-report-q2-2026-financial-results-july-28?utm_source=openai" TargetMode="External" /><Relationship Type="http://schemas.openxmlformats.org/officeDocument/2006/relationships/hyperlink" Id="rId10" Target="https://ir.mondelezinternational.com/news-releases/news-release-details/mondelez-international-reports-q1-2026-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mondelezinternational.com/news-releases/news-release-details/mondelez-international-report-q2-2026-financial-results-july-28?utm_source=openai" TargetMode="External" /><Relationship Type="http://schemas.openxmlformats.org/officeDocument/2006/relationships/hyperlink" Id="rId10" Target="https://ir.mondelezinternational.com/news-releases/news-release-details/mondelez-international-reports-q1-2026-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2026-07-28T01:14:07Z</dcterms:created>
  <dcterms:modified xsi:type="dcterms:W3CDTF">2026-07-28T01:14:07Z</dcterms:modified>
</cp:coreProperties>
</file>

<file path=docProps/custom.xml><?xml version="1.0" encoding="utf-8"?>
<Properties xmlns="http://schemas.openxmlformats.org/officeDocument/2006/custom-properties" xmlns:vt="http://schemas.openxmlformats.org/officeDocument/2006/docPropsVTypes"/>
</file>