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mondelēz-mdlz-q2-2026-earnings-preview"/>
    <w:p>
      <w:pPr>
        <w:pStyle w:val="Heading1"/>
      </w:pPr>
      <w:r>
        <w:t xml:space="preserve">Mondelēz (MDLZ) Q2 2026 Earnings Preview</w:t>
      </w:r>
    </w:p>
    <w:p>
      <w:pPr>
        <w:pStyle w:val="BlockText"/>
      </w:pPr>
      <w:r>
        <w:rPr>
          <w:b/>
          <w:bCs/>
        </w:rPr>
        <w:t xml:space="preserve">Timing note:</w:t>
      </w:r>
      <w:r>
        <w:t xml:space="preserve"> </w:t>
      </w:r>
      <w:r>
        <w:t xml:space="preserve">The Q2 2026 earnings release and call are scheduled for</w:t>
      </w:r>
      <w:r>
        <w:t xml:space="preserve"> </w:t>
      </w:r>
      <w:r>
        <w:rPr>
          <w:b/>
          <w:bCs/>
        </w:rPr>
        <w:t xml:space="preserve">after the U.S. market close on Tuesday, July 28, 2026</w:t>
      </w:r>
      <w:r>
        <w:t xml:space="preserve">—that is</w:t>
      </w:r>
      <w:r>
        <w:t xml:space="preserve"> </w:t>
      </w:r>
      <w:r>
        <w:rPr>
          <w:b/>
          <w:bCs/>
        </w:rPr>
        <w:t xml:space="preserve">today</w:t>
      </w:r>
      <w:r>
        <w:t xml:space="preserve">, not tomorrow.</w:t>
      </w:r>
    </w:p>
    <w:bookmarkStart w:id="9" w:name="X376c864abba36c4d53396e56cf2459c66ea1edc"/>
    <w:p>
      <w:pPr>
        <w:pStyle w:val="Heading2"/>
      </w:pPr>
      <w:r>
        <w:t xml:space="preserve">Investment view: Q2 is primarily a</w:t>
      </w:r>
      <w:r>
        <w:t xml:space="preserve"> </w:t>
      </w:r>
      <w:r>
        <w:rPr>
          <w:b/>
          <w:bCs/>
        </w:rPr>
        <w:t xml:space="preserve">margin, volume, and outlook</w:t>
      </w:r>
      <w:r>
        <w:t xml:space="preserve"> </w:t>
      </w:r>
      <w:r>
        <w:t xml:space="preserve">event</w:t>
      </w:r>
    </w:p>
    <w:p>
      <w:pPr>
        <w:pStyle w:val="FirstParagraph"/>
      </w:pPr>
      <w:r>
        <w:t xml:space="preserve">Mondelez enters Q2 after a better-than-feared Q1 operationally: emerging markets remained strong, Europe stabilized after price resets and an effective Easter season, and North America showed early signs of improvement. But the headline issue remains whether those revenue green shoots can translate into a credible path to</w:t>
      </w:r>
      <w:r>
        <w:t xml:space="preserve"> </w:t>
      </w:r>
      <w:r>
        <w:rPr>
          <w:b/>
          <w:bCs/>
        </w:rPr>
        <w:t xml:space="preserve">margin recovery</w:t>
      </w:r>
      <w:r>
        <w:t xml:space="preserve">.</w:t>
      </w:r>
    </w:p>
    <w:p>
      <w:pPr>
        <w:pStyle w:val="BodyText"/>
      </w:pPr>
      <w:r>
        <w:t xml:space="preserve">The stock closed at</w:t>
      </w:r>
      <w:r>
        <w:t xml:space="preserve"> </w:t>
      </w:r>
      <w:r>
        <w:rPr>
          <w:b/>
          <w:bCs/>
        </w:rPr>
        <w:t xml:space="preserve">$60.69 on July 27</w:t>
      </w:r>
      <w:r>
        <w:t xml:space="preserve">, up modestly from the April 28 Q1-report date, though below its June high of $64.18. That suggests investors see MDLZ as relatively defensively positioned within staples, but still require evidence that cocoa-driven cost pressure, weak developed-market volumes, and reinvestment spending are becoming more manageable.</w:t>
      </w:r>
    </w:p>
    <w:p>
      <w:pPr>
        <w:pStyle w:val="BodyText"/>
      </w:pPr>
      <w:r>
        <w:t xml:space="preserve">The likely market debate after the print:</w:t>
      </w:r>
    </w:p>
    <w:p>
      <w:pPr>
        <w:pStyle w:val="Compact"/>
        <w:numPr>
          <w:ilvl w:val="0"/>
          <w:numId w:val="1001"/>
        </w:numPr>
      </w:pPr>
      <w:r>
        <w:rPr>
          <w:b/>
          <w:bCs/>
        </w:rPr>
        <w:t xml:space="preserve">Are volumes improving without further price concessions?</w:t>
      </w:r>
    </w:p>
    <w:p>
      <w:pPr>
        <w:pStyle w:val="Compact"/>
        <w:numPr>
          <w:ilvl w:val="0"/>
          <w:numId w:val="1001"/>
        </w:numPr>
      </w:pPr>
      <w:r>
        <w:rPr>
          <w:b/>
          <w:bCs/>
        </w:rPr>
        <w:t xml:space="preserve">Has the cocoa-cost headwind peaked in the P&amp;L—or is hedge/inventory timing still delaying relief?</w:t>
      </w:r>
    </w:p>
    <w:p>
      <w:pPr>
        <w:pStyle w:val="Compact"/>
        <w:numPr>
          <w:ilvl w:val="0"/>
          <w:numId w:val="1001"/>
        </w:numPr>
      </w:pPr>
      <w:r>
        <w:rPr>
          <w:b/>
          <w:bCs/>
        </w:rPr>
        <w:t xml:space="preserve">Can management maintain full-year guidance while funding higher brand investment and absorbing geopolitical/tariff costs?</w:t>
      </w:r>
    </w:p>
    <w:p>
      <w:pPr>
        <w:pStyle w:val="Compact"/>
        <w:numPr>
          <w:ilvl w:val="0"/>
          <w:numId w:val="1001"/>
        </w:numPr>
      </w:pPr>
      <w:r>
        <w:rPr>
          <w:b/>
          <w:bCs/>
        </w:rPr>
        <w:t xml:space="preserve">Is North America genuinely inflecting, particularly in biscuits?</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Current pre-report expectations point to a relatively subdued quarter: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2026 expectation</w:t>
            </w:r>
          </w:p>
        </w:tc>
        <w:tc>
          <w:tcPr/>
          <w:p>
            <w:pPr>
              <w:pStyle w:val="Compact"/>
              <w:jc w:val="right"/>
            </w:pPr>
            <w:r>
              <w:t xml:space="preserve">Consensus / investor focus</w:t>
            </w:r>
          </w:p>
        </w:tc>
      </w:tr>
      <w:tr>
        <w:tc>
          <w:tcPr/>
          <w:p>
            <w:pPr>
              <w:pStyle w:val="Compact"/>
            </w:pPr>
            <w:r>
              <w:t xml:space="preserve">Adjusted EPS</w:t>
            </w:r>
          </w:p>
        </w:tc>
        <w:tc>
          <w:tcPr/>
          <w:p>
            <w:pPr>
              <w:pStyle w:val="Compact"/>
              <w:jc w:val="right"/>
            </w:pPr>
            <w:r>
              <w:rPr>
                <w:b/>
                <w:bCs/>
              </w:rPr>
              <w:t xml:space="preserve">$0.68</w:t>
            </w:r>
          </w:p>
        </w:tc>
      </w:tr>
      <w:tr>
        <w:tc>
          <w:tcPr/>
          <w:p>
            <w:pPr>
              <w:pStyle w:val="Compact"/>
            </w:pPr>
            <w:r>
              <w:t xml:space="preserve">Organic net revenue growth</w:t>
            </w:r>
          </w:p>
        </w:tc>
        <w:tc>
          <w:tcPr/>
          <w:p>
            <w:pPr>
              <w:pStyle w:val="Compact"/>
              <w:jc w:val="right"/>
            </w:pPr>
            <w:r>
              <w:rPr>
                <w:b/>
                <w:bCs/>
              </w:rPr>
              <w:t xml:space="preserve">~1%</w:t>
            </w:r>
          </w:p>
        </w:tc>
      </w:tr>
      <w:tr>
        <w:tc>
          <w:tcPr/>
          <w:p>
            <w:pPr>
              <w:pStyle w:val="Compact"/>
            </w:pPr>
            <w:r>
              <w:t xml:space="preserve">Latin America organic growth</w:t>
            </w:r>
          </w:p>
        </w:tc>
        <w:tc>
          <w:tcPr/>
          <w:p>
            <w:pPr>
              <w:pStyle w:val="Compact"/>
              <w:jc w:val="right"/>
            </w:pPr>
            <w:r>
              <w:rPr>
                <w:b/>
                <w:bCs/>
              </w:rPr>
              <w:t xml:space="preserve">&gt;4%</w:t>
            </w:r>
            <w:r>
              <w:t xml:space="preserve"> </w:t>
            </w:r>
            <w:r>
              <w:t xml:space="preserve">expected</w:t>
            </w:r>
          </w:p>
        </w:tc>
      </w:tr>
      <w:tr>
        <w:tc>
          <w:tcPr/>
          <w:p>
            <w:pPr>
              <w:pStyle w:val="Compact"/>
            </w:pPr>
            <w:r>
              <w:t xml:space="preserve">AMEA organic growth</w:t>
            </w:r>
          </w:p>
        </w:tc>
        <w:tc>
          <w:tcPr/>
          <w:p>
            <w:pPr>
              <w:pStyle w:val="Compact"/>
              <w:jc w:val="right"/>
            </w:pPr>
            <w:r>
              <w:rPr>
                <w:b/>
                <w:bCs/>
              </w:rPr>
              <w:t xml:space="preserve">&gt;4%</w:t>
            </w:r>
            <w:r>
              <w:t xml:space="preserve"> </w:t>
            </w:r>
            <w:r>
              <w:t xml:space="preserve">expected</w:t>
            </w:r>
          </w:p>
        </w:tc>
      </w:tr>
      <w:tr>
        <w:tc>
          <w:tcPr/>
          <w:p>
            <w:pPr>
              <w:pStyle w:val="Compact"/>
            </w:pPr>
            <w:r>
              <w:t xml:space="preserve">Europe organic growth</w:t>
            </w:r>
          </w:p>
        </w:tc>
        <w:tc>
          <w:tcPr/>
          <w:p>
            <w:pPr>
              <w:pStyle w:val="Compact"/>
              <w:jc w:val="right"/>
            </w:pPr>
            <w:r>
              <w:rPr>
                <w:b/>
                <w:bCs/>
              </w:rPr>
              <w:t xml:space="preserve">~(1.6%)</w:t>
            </w:r>
            <w:r>
              <w:t xml:space="preserve"> </w:t>
            </w:r>
            <w:r>
              <w:t xml:space="preserve">expected</w:t>
            </w:r>
          </w:p>
        </w:tc>
      </w:tr>
      <w:tr>
        <w:tc>
          <w:tcPr/>
          <w:p>
            <w:pPr>
              <w:pStyle w:val="Compact"/>
            </w:pPr>
            <w:r>
              <w:t xml:space="preserve">North America organic growth</w:t>
            </w:r>
          </w:p>
        </w:tc>
        <w:tc>
          <w:tcPr/>
          <w:p>
            <w:pPr>
              <w:pStyle w:val="Compact"/>
              <w:jc w:val="right"/>
            </w:pPr>
            <w:r>
              <w:rPr>
                <w:b/>
                <w:bCs/>
              </w:rPr>
              <w:t xml:space="preserve">~0.4%</w:t>
            </w:r>
            <w:r>
              <w:t xml:space="preserve"> </w:t>
            </w:r>
            <w:r>
              <w:t xml:space="preserve">expected</w:t>
            </w:r>
          </w:p>
        </w:tc>
      </w:tr>
    </w:tbl>
    <w:p>
      <w:pPr>
        <w:pStyle w:val="BodyText"/>
      </w:pPr>
      <w:r>
        <w:t xml:space="preserve">The setup is therefore not demanding on revenue growth alone. A material upside reaction would likely require better-than-expected</w:t>
      </w:r>
      <w:r>
        <w:t xml:space="preserve"> </w:t>
      </w:r>
      <w:r>
        <w:rPr>
          <w:b/>
          <w:bCs/>
        </w:rPr>
        <w:t xml:space="preserve">volume/mix</w:t>
      </w:r>
      <w:r>
        <w:t xml:space="preserve">, evidence of lower second-half input costs, or increased confidence in the earnings algorithm beyond 2026.</w:t>
      </w:r>
    </w:p>
    <w:p>
      <w:r>
        <w:pict>
          <v:rect style="width:0;height:1.5pt" o:hralign="center" o:hrstd="t" o:hr="t"/>
        </w:pict>
      </w:r>
    </w:p>
    <w:bookmarkEnd w:id="10"/>
    <w:bookmarkStart w:id="11" w:name="X3339841a916991df9c18631379d502356191f49"/>
    <w:p>
      <w:pPr>
        <w:pStyle w:val="Heading2"/>
      </w:pPr>
      <w:r>
        <w:t xml:space="preserve">Starting point: Q1 was operationally mixed</w:t>
      </w:r>
    </w:p>
    <w:p>
      <w:pPr>
        <w:pStyle w:val="FirstParagraph"/>
      </w:pPr>
      <w:r>
        <w:t xml:space="preserve">In Q1, reported revenue grew</w:t>
      </w:r>
      <w:r>
        <w:t xml:space="preserve"> </w:t>
      </w:r>
      <w:r>
        <w:rPr>
          <w:b/>
          <w:bCs/>
        </w:rPr>
        <w:t xml:space="preserve">8.2%</w:t>
      </w:r>
      <w:r>
        <w:t xml:space="preserve"> </w:t>
      </w:r>
      <w:r>
        <w:t xml:space="preserve">and organic net revenue grew</w:t>
      </w:r>
      <w:r>
        <w:t xml:space="preserve"> </w:t>
      </w:r>
      <w:r>
        <w:rPr>
          <w:b/>
          <w:bCs/>
        </w:rPr>
        <w:t xml:space="preserve">3.0%</w:t>
      </w:r>
      <w:r>
        <w:t xml:space="preserve">, driven by</w:t>
      </w:r>
      <w:r>
        <w:t xml:space="preserve"> </w:t>
      </w:r>
      <w:r>
        <w:rPr>
          <w:b/>
          <w:bCs/>
        </w:rPr>
        <w:t xml:space="preserve">3.5 points of pricing</w:t>
      </w:r>
      <w:r>
        <w:t xml:space="preserve">, partly offset by a</w:t>
      </w:r>
      <w:r>
        <w:t xml:space="preserve"> </w:t>
      </w:r>
      <w:r>
        <w:rPr>
          <w:b/>
          <w:bCs/>
        </w:rPr>
        <w:t xml:space="preserve">0.5-point volume/mix decline</w:t>
      </w:r>
      <w:r>
        <w:t xml:space="preserve">. Emerging markets were the key growth engine, with</w:t>
      </w:r>
      <w:r>
        <w:t xml:space="preserve"> </w:t>
      </w:r>
      <w:r>
        <w:rPr>
          <w:b/>
          <w:bCs/>
        </w:rPr>
        <w:t xml:space="preserve">6.3% organic growth</w:t>
      </w:r>
      <w:r>
        <w:t xml:space="preserve"> </w:t>
      </w:r>
      <w:r>
        <w:t xml:space="preserve">and positive volume/mix; developed markets grew just</w:t>
      </w:r>
      <w:r>
        <w:t xml:space="preserve"> </w:t>
      </w:r>
      <w:r>
        <w:rPr>
          <w:b/>
          <w:bCs/>
        </w:rPr>
        <w:t xml:space="preserve">0.8% organically</w:t>
      </w:r>
      <w:r>
        <w:t xml:space="preserve"> </w:t>
      </w:r>
      <w:r>
        <w:t xml:space="preserve">and posted a 1.2-point volume/mix decline.</w:t>
      </w:r>
    </w:p>
    <w:p>
      <w:pPr>
        <w:pStyle w:val="BodyText"/>
      </w:pPr>
      <w:r>
        <w:t xml:space="preserve">The more important caveat was profitability:</w:t>
      </w:r>
    </w:p>
    <w:p>
      <w:pPr>
        <w:pStyle w:val="Compact"/>
        <w:numPr>
          <w:ilvl w:val="0"/>
          <w:numId w:val="1002"/>
        </w:numPr>
      </w:pPr>
      <w:r>
        <w:t xml:space="preserve">Adjusted gross margin declined</w:t>
      </w:r>
      <w:r>
        <w:t xml:space="preserve"> </w:t>
      </w:r>
      <w:r>
        <w:rPr>
          <w:b/>
          <w:bCs/>
        </w:rPr>
        <w:t xml:space="preserve">270 bps</w:t>
      </w:r>
      <w:r>
        <w:t xml:space="preserve"> </w:t>
      </w:r>
      <w:r>
        <w:t xml:space="preserve">to</w:t>
      </w:r>
      <w:r>
        <w:t xml:space="preserve"> </w:t>
      </w:r>
      <w:r>
        <w:rPr>
          <w:b/>
          <w:bCs/>
        </w:rPr>
        <w:t xml:space="preserve">30.7%</w:t>
      </w:r>
      <w:r>
        <w:t xml:space="preserve">.</w:t>
      </w:r>
    </w:p>
    <w:p>
      <w:pPr>
        <w:pStyle w:val="Compact"/>
        <w:numPr>
          <w:ilvl w:val="0"/>
          <w:numId w:val="1002"/>
        </w:numPr>
      </w:pPr>
      <w:r>
        <w:t xml:space="preserve">Adjusted operating margin declined</w:t>
      </w:r>
      <w:r>
        <w:t xml:space="preserve"> </w:t>
      </w:r>
      <w:r>
        <w:rPr>
          <w:b/>
          <w:bCs/>
        </w:rPr>
        <w:t xml:space="preserve">310 bps</w:t>
      </w:r>
      <w:r>
        <w:t xml:space="preserve"> </w:t>
      </w:r>
      <w:r>
        <w:t xml:space="preserve">to</w:t>
      </w:r>
      <w:r>
        <w:t xml:space="preserve"> </w:t>
      </w:r>
      <w:r>
        <w:rPr>
          <w:b/>
          <w:bCs/>
        </w:rPr>
        <w:t xml:space="preserve">11.7%</w:t>
      </w:r>
      <w:r>
        <w:t xml:space="preserve">.</w:t>
      </w:r>
    </w:p>
    <w:p>
      <w:pPr>
        <w:pStyle w:val="Compact"/>
        <w:numPr>
          <w:ilvl w:val="0"/>
          <w:numId w:val="1002"/>
        </w:numPr>
      </w:pPr>
      <w:r>
        <w:t xml:space="preserve">Constant-currency adjusted EPS fell</w:t>
      </w:r>
      <w:r>
        <w:t xml:space="preserve"> </w:t>
      </w:r>
      <w:r>
        <w:rPr>
          <w:b/>
          <w:bCs/>
        </w:rPr>
        <w:t xml:space="preserve">14.9%</w:t>
      </w:r>
      <w:r>
        <w:t xml:space="preserve"> </w:t>
      </w:r>
      <w:r>
        <w:t xml:space="preserve">to</w:t>
      </w:r>
      <w:r>
        <w:t xml:space="preserve"> </w:t>
      </w:r>
      <w:r>
        <w:rPr>
          <w:b/>
          <w:bCs/>
        </w:rPr>
        <w:t xml:space="preserve">$0.63</w:t>
      </w:r>
      <w:r>
        <w:t xml:space="preserve">.</w:t>
      </w:r>
    </w:p>
    <w:p>
      <w:pPr>
        <w:pStyle w:val="Compact"/>
        <w:numPr>
          <w:ilvl w:val="0"/>
          <w:numId w:val="1002"/>
        </w:numPr>
      </w:pPr>
      <w:r>
        <w:t xml:space="preserve">Higher input costs outweighed pricing, with cocoa, packaging, edible oils, nuts, dairy, energy, and FX-related import costs all contributing.</w:t>
      </w:r>
    </w:p>
    <w:p>
      <w:pPr>
        <w:pStyle w:val="Compact"/>
        <w:numPr>
          <w:ilvl w:val="0"/>
          <w:numId w:val="1002"/>
        </w:numPr>
      </w:pPr>
      <w:r>
        <w:t xml:space="preserve">The company also raised advertising and promotion spending, ERP-transformation costs, and restructuring spending.</w:t>
      </w:r>
    </w:p>
    <w:p>
      <w:pPr>
        <w:pStyle w:val="FirstParagraph"/>
      </w:pPr>
      <w:r>
        <w:t xml:space="preserve">Thus, Q2 needs to show that Q1’s top-line progress was not simply purchased through pricing and reinvestment while margins remained under pressure.</w:t>
      </w:r>
    </w:p>
    <w:p>
      <w:r>
        <w:pict>
          <v:rect style="width:0;height:1.5pt" o:hralign="center" o:hrstd="t" o:hr="t"/>
        </w:pict>
      </w:r>
    </w:p>
    <w:bookmarkEnd w:id="11"/>
    <w:bookmarkStart w:id="12" w:name="the-three-issues-that-matter-most"/>
    <w:p>
      <w:pPr>
        <w:pStyle w:val="Heading2"/>
      </w:pPr>
      <w:r>
        <w:t xml:space="preserve">The three issues that matter most</w:t>
      </w:r>
    </w:p>
    <w:bookmarkEnd w:id="12"/>
    <w:bookmarkStart w:id="13" w:name="Xee25d81ed4579db0ef975be7350aad359ba8442"/>
    <w:p>
      <w:pPr>
        <w:pStyle w:val="Heading2"/>
      </w:pPr>
      <w:r>
        <w:t xml:space="preserve">1. Volume/mix: Can MDLZ demonstrate elasticity is easing?</w:t>
      </w:r>
    </w:p>
    <w:p>
      <w:pPr>
        <w:pStyle w:val="FirstParagraph"/>
      </w:pPr>
      <w:r>
        <w:t xml:space="preserve">The biggest positive signal in Q1 was that volume trends appeared to be improving sequentially, especially in Europe and North America. Management attributed this to better price-pack architecture, targeted promotional strategy, and stronger innovation execution.</w:t>
      </w:r>
    </w:p>
    <w:p>
      <w:pPr>
        <w:pStyle w:val="BodyText"/>
      </w:pPr>
      <w:r>
        <w:t xml:space="preserve">Still, the numbers underscore the challenge:</w:t>
      </w:r>
    </w:p>
    <w:p>
      <w:pPr>
        <w:pStyle w:val="Compact"/>
        <w:numPr>
          <w:ilvl w:val="0"/>
          <w:numId w:val="1003"/>
        </w:numPr>
      </w:pPr>
      <w:r>
        <w:rPr>
          <w:b/>
          <w:bCs/>
        </w:rPr>
        <w:t xml:space="preserve">Europe:</w:t>
      </w:r>
      <w:r>
        <w:t xml:space="preserve"> </w:t>
      </w:r>
      <w:r>
        <w:t xml:space="preserve">Q1 organic growth was</w:t>
      </w:r>
      <w:r>
        <w:t xml:space="preserve"> </w:t>
      </w:r>
      <w:r>
        <w:rPr>
          <w:b/>
          <w:bCs/>
        </w:rPr>
        <w:t xml:space="preserve">-0.6%</w:t>
      </w:r>
      <w:r>
        <w:t xml:space="preserve">, with volume/mix down</w:t>
      </w:r>
      <w:r>
        <w:t xml:space="preserve"> </w:t>
      </w:r>
      <w:r>
        <w:rPr>
          <w:b/>
          <w:bCs/>
        </w:rPr>
        <w:t xml:space="preserve">3.2 points</w:t>
      </w:r>
      <w:r>
        <w:t xml:space="preserve">.</w:t>
      </w:r>
    </w:p>
    <w:p>
      <w:pPr>
        <w:pStyle w:val="Compact"/>
        <w:numPr>
          <w:ilvl w:val="0"/>
          <w:numId w:val="1003"/>
        </w:numPr>
      </w:pPr>
      <w:r>
        <w:rPr>
          <w:b/>
          <w:bCs/>
        </w:rPr>
        <w:t xml:space="preserve">North America:</w:t>
      </w:r>
      <w:r>
        <w:t xml:space="preserve"> </w:t>
      </w:r>
      <w:r>
        <w:t xml:space="preserve">organic growth was</w:t>
      </w:r>
      <w:r>
        <w:t xml:space="preserve"> </w:t>
      </w:r>
      <w:r>
        <w:rPr>
          <w:b/>
          <w:bCs/>
        </w:rPr>
        <w:t xml:space="preserve">+0.5%</w:t>
      </w:r>
      <w:r>
        <w:t xml:space="preserve">, but volume/mix was down</w:t>
      </w:r>
      <w:r>
        <w:t xml:space="preserve"> </w:t>
      </w:r>
      <w:r>
        <w:rPr>
          <w:b/>
          <w:bCs/>
        </w:rPr>
        <w:t xml:space="preserve">0.4 points</w:t>
      </w:r>
      <w:r>
        <w:t xml:space="preserve"> </w:t>
      </w:r>
      <w:r>
        <w:t xml:space="preserve">amid soft U.S. biscuits and baked-snacks consumption.</w:t>
      </w:r>
    </w:p>
    <w:p>
      <w:pPr>
        <w:pStyle w:val="Compact"/>
        <w:numPr>
          <w:ilvl w:val="0"/>
          <w:numId w:val="1003"/>
        </w:numPr>
      </w:pPr>
      <w:r>
        <w:rPr>
          <w:b/>
          <w:bCs/>
        </w:rPr>
        <w:t xml:space="preserve">Latin America:</w:t>
      </w:r>
      <w:r>
        <w:t xml:space="preserve"> </w:t>
      </w:r>
      <w:r>
        <w:t xml:space="preserve">revenue growth was pricing-led, with volume/mix down</w:t>
      </w:r>
      <w:r>
        <w:t xml:space="preserve"> </w:t>
      </w:r>
      <w:r>
        <w:rPr>
          <w:b/>
          <w:bCs/>
        </w:rPr>
        <w:t xml:space="preserve">3.0 points</w:t>
      </w:r>
      <w:r>
        <w:t xml:space="preserve">.</w:t>
      </w:r>
    </w:p>
    <w:p>
      <w:pPr>
        <w:pStyle w:val="FirstParagraph"/>
      </w:pPr>
      <w:r>
        <w:t xml:space="preserve">For Q2, investors should focus less on nominal revenue and more on whether management can show:</w:t>
      </w:r>
    </w:p>
    <w:p>
      <w:pPr>
        <w:pStyle w:val="Compact"/>
        <w:numPr>
          <w:ilvl w:val="0"/>
          <w:numId w:val="1004"/>
        </w:numPr>
      </w:pPr>
      <w:r>
        <w:t xml:space="preserve">Sequential volume improvement in European chocolate;</w:t>
      </w:r>
    </w:p>
    <w:p>
      <w:pPr>
        <w:pStyle w:val="Compact"/>
        <w:numPr>
          <w:ilvl w:val="0"/>
          <w:numId w:val="1004"/>
        </w:numPr>
      </w:pPr>
      <w:r>
        <w:t xml:space="preserve">Positive or at least stabilizing U.S. biscuit volumes;</w:t>
      </w:r>
    </w:p>
    <w:p>
      <w:pPr>
        <w:pStyle w:val="Compact"/>
        <w:numPr>
          <w:ilvl w:val="0"/>
          <w:numId w:val="1004"/>
        </w:numPr>
      </w:pPr>
      <w:r>
        <w:t xml:space="preserve">Continued share gains in North American crackers, candy, bars, club, value, and online channels;</w:t>
      </w:r>
    </w:p>
    <w:p>
      <w:pPr>
        <w:pStyle w:val="Compact"/>
        <w:numPr>
          <w:ilvl w:val="0"/>
          <w:numId w:val="1004"/>
        </w:numPr>
      </w:pPr>
      <w:r>
        <w:t xml:space="preserve">Sustained emerging-market volume growth, particularly in China and India.</w:t>
      </w:r>
    </w:p>
    <w:p>
      <w:pPr>
        <w:pStyle w:val="FirstParagraph"/>
      </w:pPr>
      <w:r>
        <w:rPr>
          <w:b/>
          <w:bCs/>
        </w:rPr>
        <w:t xml:space="preserve">What would be bullish:</w:t>
      </w:r>
      <w:r>
        <w:t xml:space="preserve"> </w:t>
      </w:r>
      <w:r>
        <w:t xml:space="preserve">Consolidated volume/mix reaches flat or positive territory, with North America clearly positive and Europe’s decline narrowing materially.</w:t>
      </w:r>
    </w:p>
    <w:p>
      <w:pPr>
        <w:pStyle w:val="BodyText"/>
      </w:pPr>
      <w:r>
        <w:rPr>
          <w:b/>
          <w:bCs/>
        </w:rPr>
        <w:t xml:space="preserve">What would be concerning:</w:t>
      </w:r>
      <w:r>
        <w:t xml:space="preserve"> </w:t>
      </w:r>
      <w:r>
        <w:t xml:space="preserve">Organic growth meets expectations but remains entirely price-driven, particularly if Europe and Latin America again see steep volume declines.</w:t>
      </w:r>
    </w:p>
    <w:p>
      <w:r>
        <w:pict>
          <v:rect style="width:0;height:1.5pt" o:hralign="center" o:hrstd="t" o:hr="t"/>
        </w:pict>
      </w:r>
    </w:p>
    <w:bookmarkEnd w:id="13"/>
    <w:bookmarkStart w:id="14" w:name="Xc41bcfb63defe164614a18de8d19541d6e8e260"/>
    <w:p>
      <w:pPr>
        <w:pStyle w:val="Heading2"/>
      </w:pPr>
      <w:r>
        <w:t xml:space="preserve">2. Cocoa and gross margin: Lower spot prices may not yet equal earnings relief</w:t>
      </w:r>
    </w:p>
    <w:p>
      <w:pPr>
        <w:pStyle w:val="FirstParagraph"/>
      </w:pPr>
      <w:r>
        <w:t xml:space="preserve">The cocoa backdrop has improved from peak levels, but MDLZ has been explicit that lower market prices do</w:t>
      </w:r>
      <w:r>
        <w:t xml:space="preserve"> </w:t>
      </w:r>
      <w:r>
        <w:rPr>
          <w:b/>
          <w:bCs/>
        </w:rPr>
        <w:t xml:space="preserve">not</w:t>
      </w:r>
      <w:r>
        <w:t xml:space="preserve"> </w:t>
      </w:r>
      <w:r>
        <w:t xml:space="preserve">immediately flow through its income statement. Existing hedges and the sale of higher-cost inventory delayed the benefit in Q1.</w:t>
      </w:r>
    </w:p>
    <w:p>
      <w:pPr>
        <w:pStyle w:val="BodyText"/>
      </w:pPr>
      <w:r>
        <w:t xml:space="preserve">On the Q1 call, management said industry cocoa coverage averaged more than ten months and suggested cocoa prices around the then-current level better reflected supply/demand fundamentals. That was constructive for the medium-term earnings outlook, but it also means the timing of margin relief—not just the direction of cocoa—is the central question.</w:t>
      </w:r>
    </w:p>
    <w:p>
      <w:pPr>
        <w:pStyle w:val="BodyText"/>
      </w:pPr>
      <w:r>
        <w:t xml:space="preserve">Key watch items:</w:t>
      </w:r>
    </w:p>
    <w:p>
      <w:pPr>
        <w:pStyle w:val="Compact"/>
        <w:numPr>
          <w:ilvl w:val="0"/>
          <w:numId w:val="1005"/>
        </w:numPr>
      </w:pPr>
      <w:r>
        <w:t xml:space="preserve">Any update to commodity-cost inflation for 2H 2026 and 2027;</w:t>
      </w:r>
    </w:p>
    <w:p>
      <w:pPr>
        <w:pStyle w:val="Compact"/>
        <w:numPr>
          <w:ilvl w:val="0"/>
          <w:numId w:val="1005"/>
        </w:numPr>
      </w:pPr>
      <w:r>
        <w:t xml:space="preserve">Gross-margin sequential progression;</w:t>
      </w:r>
    </w:p>
    <w:p>
      <w:pPr>
        <w:pStyle w:val="Compact"/>
        <w:numPr>
          <w:ilvl w:val="0"/>
          <w:numId w:val="1005"/>
        </w:numPr>
      </w:pPr>
      <w:r>
        <w:t xml:space="preserve">The pace at which hedges and higher-cost inventory roll off;</w:t>
      </w:r>
    </w:p>
    <w:p>
      <w:pPr>
        <w:pStyle w:val="Compact"/>
        <w:numPr>
          <w:ilvl w:val="0"/>
          <w:numId w:val="1005"/>
        </w:numPr>
      </w:pPr>
      <w:r>
        <w:t xml:space="preserve">Whether price reductions, promotional intensity, or customer negotiations offset commodity relief;</w:t>
      </w:r>
    </w:p>
    <w:p>
      <w:pPr>
        <w:pStyle w:val="Compact"/>
        <w:numPr>
          <w:ilvl w:val="0"/>
          <w:numId w:val="1005"/>
        </w:numPr>
      </w:pPr>
      <w:r>
        <w:t xml:space="preserve">Updated commentary on packaging, energy, transportation, dairy, edible oils, and nuts.</w:t>
      </w:r>
    </w:p>
    <w:p>
      <w:pPr>
        <w:pStyle w:val="FirstParagraph"/>
      </w:pPr>
      <w:r>
        <w:t xml:space="preserve">MDLZ’s Q1 adjusted operating income declined</w:t>
      </w:r>
      <w:r>
        <w:t xml:space="preserve"> </w:t>
      </w:r>
      <w:r>
        <w:rPr>
          <w:b/>
          <w:bCs/>
        </w:rPr>
        <w:t xml:space="preserve">19% at constant currency</w:t>
      </w:r>
      <w:r>
        <w:t xml:space="preserve">, despite 3% organic sales growth. A Q2 result that shows lower earnings pressure but no margin stabilization would likely be viewed as insufficient.</w:t>
      </w:r>
    </w:p>
    <w:p>
      <w:pPr>
        <w:pStyle w:val="BodyText"/>
      </w:pPr>
      <w:r>
        <w:rPr>
          <w:b/>
          <w:bCs/>
        </w:rPr>
        <w:t xml:space="preserve">What would be bullish:</w:t>
      </w:r>
      <w:r>
        <w:t xml:space="preserve"> </w:t>
      </w:r>
      <w:r>
        <w:t xml:space="preserve">Management points to clearly lower input-cost pressure in the second half, while holding or improving its full-year EPS framework.</w:t>
      </w:r>
    </w:p>
    <w:p>
      <w:pPr>
        <w:pStyle w:val="BodyText"/>
      </w:pPr>
      <w:r>
        <w:rPr>
          <w:b/>
          <w:bCs/>
        </w:rPr>
        <w:t xml:space="preserve">What would be concerning:</w:t>
      </w:r>
      <w:r>
        <w:t xml:space="preserve"> </w:t>
      </w:r>
      <w:r>
        <w:t xml:space="preserve">Another material margin miss, especially if the company points to delayed cocoa relief or incremental packaging, freight, energy, and promotion costs.</w:t>
      </w:r>
    </w:p>
    <w:p>
      <w:r>
        <w:pict>
          <v:rect style="width:0;height:1.5pt" o:hralign="center" o:hrstd="t" o:hr="t"/>
        </w:pict>
      </w:r>
    </w:p>
    <w:bookmarkEnd w:id="14"/>
    <w:bookmarkStart w:id="15" w:name="Xee22d2904219579ef69f1cb80d6861253c70ac7"/>
    <w:p>
      <w:pPr>
        <w:pStyle w:val="Heading2"/>
      </w:pPr>
      <w:r>
        <w:t xml:space="preserve">3. Guidance: Reaffirmation may not be enough without better 2027 visibility</w:t>
      </w:r>
    </w:p>
    <w:p>
      <w:pPr>
        <w:pStyle w:val="FirstParagraph"/>
      </w:pPr>
      <w:r>
        <w:t xml:space="preserve">MDLZ reaffirmed its 2026 outlook in Q1:</w:t>
      </w:r>
    </w:p>
    <w:p>
      <w:pPr>
        <w:pStyle w:val="Compact"/>
        <w:numPr>
          <w:ilvl w:val="0"/>
          <w:numId w:val="1006"/>
        </w:numPr>
      </w:pPr>
      <w:r>
        <w:rPr>
          <w:b/>
          <w:bCs/>
        </w:rPr>
        <w:t xml:space="preserve">Organic net revenue growth:</w:t>
      </w:r>
      <w:r>
        <w:t xml:space="preserve"> </w:t>
      </w:r>
      <w:r>
        <w:t xml:space="preserve">flat to</w:t>
      </w:r>
      <w:r>
        <w:t xml:space="preserve"> </w:t>
      </w:r>
      <w:r>
        <w:rPr>
          <w:b/>
          <w:bCs/>
        </w:rPr>
        <w:t xml:space="preserve">+2%</w:t>
      </w:r>
    </w:p>
    <w:p>
      <w:pPr>
        <w:pStyle w:val="Compact"/>
        <w:numPr>
          <w:ilvl w:val="0"/>
          <w:numId w:val="1006"/>
        </w:numPr>
      </w:pPr>
      <w:r>
        <w:rPr>
          <w:b/>
          <w:bCs/>
        </w:rPr>
        <w:t xml:space="preserve">Adjusted EPS growth:</w:t>
      </w:r>
      <w:r>
        <w:t xml:space="preserve"> </w:t>
      </w:r>
      <w:r>
        <w:t xml:space="preserve">flat to</w:t>
      </w:r>
      <w:r>
        <w:t xml:space="preserve"> </w:t>
      </w:r>
      <w:r>
        <w:rPr>
          <w:b/>
          <w:bCs/>
        </w:rPr>
        <w:t xml:space="preserve">+5%</w:t>
      </w:r>
      <w:r>
        <w:t xml:space="preserve"> </w:t>
      </w:r>
      <w:r>
        <w:t xml:space="preserve">in constant currency</w:t>
      </w:r>
    </w:p>
    <w:p>
      <w:pPr>
        <w:pStyle w:val="Compact"/>
        <w:numPr>
          <w:ilvl w:val="0"/>
          <w:numId w:val="1006"/>
        </w:numPr>
      </w:pPr>
      <w:r>
        <w:rPr>
          <w:b/>
          <w:bCs/>
        </w:rPr>
        <w:t xml:space="preserve">Free cash flow:</w:t>
      </w:r>
      <w:r>
        <w:t xml:space="preserve"> </w:t>
      </w:r>
      <w:r>
        <w:t xml:space="preserve">approximately</w:t>
      </w:r>
      <w:r>
        <w:t xml:space="preserve"> </w:t>
      </w:r>
      <w:r>
        <w:rPr>
          <w:b/>
          <w:bCs/>
        </w:rPr>
        <w:t xml:space="preserve">$3 billion</w:t>
      </w:r>
    </w:p>
    <w:p>
      <w:pPr>
        <w:pStyle w:val="FirstParagraph"/>
      </w:pPr>
      <w:r>
        <w:t xml:space="preserve">Management described Q1 as ahead of its expectations, yet chose not to raise guidance. The rationale was understandable: added costs from Middle East disruption, oil and shipping pressures, and a decision to reinvest potential upside behind brands and innovation.</w:t>
      </w:r>
    </w:p>
    <w:p>
      <w:pPr>
        <w:pStyle w:val="BodyText"/>
      </w:pPr>
      <w:r>
        <w:t xml:space="preserve">That establishes a high bar for Q2. A simple reaffirmation could be acceptable if it comes alongside improved commentary on commodities, volume trends, and gross margins. But a guidance increase is unlikely unless management has confidence that commodity and geopolitical headwinds have moderated enough to protect the investment agenda.</w:t>
      </w:r>
    </w:p>
    <w:p>
      <w:pPr>
        <w:pStyle w:val="BodyText"/>
      </w:pPr>
      <w:r>
        <w:t xml:space="preserve">Investors should listen specifically for:</w:t>
      </w:r>
    </w:p>
    <w:p>
      <w:pPr>
        <w:pStyle w:val="Compact"/>
        <w:numPr>
          <w:ilvl w:val="0"/>
          <w:numId w:val="1007"/>
        </w:numPr>
      </w:pPr>
      <w:r>
        <w:t xml:space="preserve">Whether Q1’s “ahead” positioning continued into Q2;</w:t>
      </w:r>
    </w:p>
    <w:p>
      <w:pPr>
        <w:pStyle w:val="Compact"/>
        <w:numPr>
          <w:ilvl w:val="0"/>
          <w:numId w:val="1007"/>
        </w:numPr>
      </w:pPr>
      <w:r>
        <w:t xml:space="preserve">Whether reinvestment is still absorbing upside;</w:t>
      </w:r>
    </w:p>
    <w:p>
      <w:pPr>
        <w:pStyle w:val="Compact"/>
        <w:numPr>
          <w:ilvl w:val="0"/>
          <w:numId w:val="1007"/>
        </w:numPr>
      </w:pPr>
      <w:r>
        <w:t xml:space="preserve">The expected cadence of gross-margin recovery;</w:t>
      </w:r>
    </w:p>
    <w:p>
      <w:pPr>
        <w:pStyle w:val="Compact"/>
        <w:numPr>
          <w:ilvl w:val="0"/>
          <w:numId w:val="1007"/>
        </w:numPr>
      </w:pPr>
      <w:r>
        <w:t xml:space="preserve">Whether 2027 earnings growth remains a credible step-up year;</w:t>
      </w:r>
    </w:p>
    <w:p>
      <w:pPr>
        <w:pStyle w:val="Compact"/>
        <w:numPr>
          <w:ilvl w:val="0"/>
          <w:numId w:val="1007"/>
        </w:numPr>
      </w:pPr>
      <w:r>
        <w:t xml:space="preserve">Any change in currency assumptions or the estimated benefit to reported results.</w:t>
      </w:r>
    </w:p>
    <w:p>
      <w:r>
        <w:pict>
          <v:rect style="width:0;height:1.5pt" o:hralign="center" o:hrstd="t" o:hr="t"/>
        </w:pict>
      </w:r>
    </w:p>
    <w:bookmarkEnd w:id="15"/>
    <w:bookmarkStart w:id="19" w:name="regional-scorecard"/>
    <w:p>
      <w:pPr>
        <w:pStyle w:val="Heading2"/>
      </w:pPr>
      <w:r>
        <w:t xml:space="preserve">Regional scorecard</w:t>
      </w:r>
    </w:p>
    <w:bookmarkStart w:id="16" w:name="emerging-markets--the-core-growth-engine"/>
    <w:p>
      <w:pPr>
        <w:pStyle w:val="Heading3"/>
      </w:pPr>
      <w:r>
        <w:t xml:space="preserve">Emerging markets — the core growth engine</w:t>
      </w:r>
    </w:p>
    <w:p>
      <w:pPr>
        <w:pStyle w:val="FirstParagraph"/>
      </w:pPr>
      <w:r>
        <w:t xml:space="preserve">Emerging markets represented roughly 40% of the business and delivered</w:t>
      </w:r>
      <w:r>
        <w:t xml:space="preserve"> </w:t>
      </w:r>
      <w:r>
        <w:rPr>
          <w:b/>
          <w:bCs/>
        </w:rPr>
        <w:t xml:space="preserve">6.3% organic growth</w:t>
      </w:r>
      <w:r>
        <w:t xml:space="preserve"> </w:t>
      </w:r>
      <w:r>
        <w:t xml:space="preserve">in Q1, including positive volume/mix. China grew mid-single digits, India delivered double-digit growth in chocolate and biscuits, and Brazil grew at a high-single-digit rate.</w:t>
      </w:r>
    </w:p>
    <w:p>
      <w:pPr>
        <w:pStyle w:val="BodyText"/>
      </w:pPr>
      <w:r>
        <w:t xml:space="preserve">This is MDLZ’s most important growth lever. Q2 needs to confirm that emerging-market strength is broad-based rather than Easter- or calendar-driven.</w:t>
      </w:r>
    </w:p>
    <w:p>
      <w:pPr>
        <w:pStyle w:val="BodyText"/>
      </w:pPr>
      <w:r>
        <w:rPr>
          <w:b/>
          <w:bCs/>
        </w:rPr>
        <w:t xml:space="preserve">Focus:</w:t>
      </w:r>
      <w:r>
        <w:t xml:space="preserve"> </w:t>
      </w:r>
      <w:r>
        <w:t xml:space="preserve">China demand and distribution, India’s post-tax-change consumption environment, Brazil execution, Mexico’s recovery, and the durability of positive volume/mix.</w:t>
      </w:r>
    </w:p>
    <w:bookmarkEnd w:id="16"/>
    <w:bookmarkStart w:id="17" w:name="X907d3bc9e7e6cad29e1f2093ddbf38059e2258d"/>
    <w:p>
      <w:pPr>
        <w:pStyle w:val="Heading3"/>
      </w:pPr>
      <w:r>
        <w:t xml:space="preserve">Europe — the most important proof point for elasticity recovery</w:t>
      </w:r>
    </w:p>
    <w:p>
      <w:pPr>
        <w:pStyle w:val="FirstParagraph"/>
      </w:pPr>
      <w:r>
        <w:t xml:space="preserve">Europe’s Q1 organic growth was negative despite reported growth aided by currency. Management cited improving share trends, successful Easter execution, completed retailer negotiations, pricing resets, and good early performance from Biscoff, Toblerone, and Milka.</w:t>
      </w:r>
    </w:p>
    <w:p>
      <w:pPr>
        <w:pStyle w:val="BodyText"/>
      </w:pPr>
      <w:r>
        <w:t xml:space="preserve">The Street expects Europe to decline organically in Q2. That lowers the bar, but an upside result would be meaningful because it would validate management’s view that the worst of chocolate elasticity is passing.</w:t>
      </w:r>
    </w:p>
    <w:p>
      <w:pPr>
        <w:pStyle w:val="BodyText"/>
      </w:pPr>
      <w:r>
        <w:rPr>
          <w:b/>
          <w:bCs/>
        </w:rPr>
        <w:t xml:space="preserve">Focus:</w:t>
      </w:r>
      <w:r>
        <w:t xml:space="preserve"> </w:t>
      </w:r>
      <w:r>
        <w:t xml:space="preserve">Chocolate volume, price gaps versus competition/private label, promotional execution, and whether seasonal strength carried into the base business.</w:t>
      </w:r>
    </w:p>
    <w:bookmarkEnd w:id="17"/>
    <w:bookmarkStart w:id="18" w:name="X1a72721e3a14adb97572c857b7b254514ae22dd"/>
    <w:p>
      <w:pPr>
        <w:pStyle w:val="Heading3"/>
      </w:pPr>
      <w:r>
        <w:t xml:space="preserve">North America — inflection is promised, not yet proven</w:t>
      </w:r>
    </w:p>
    <w:p>
      <w:pPr>
        <w:pStyle w:val="FirstParagraph"/>
      </w:pPr>
      <w:r>
        <w:t xml:space="preserve">North America remains the most scrutinized region. Q1 organic growth was only 0.5%, and adjusted segment operating income declined 15.5% at constant currency. Management nonetheless expects a second-half revenue and volume inflection, driven by crackers—especially Ritz—Sour Patch Kids, ventures such as Clif and Perfect Bar, targeted promotion, and stronger distribution in value and club.</w:t>
      </w:r>
    </w:p>
    <w:p>
      <w:pPr>
        <w:pStyle w:val="BodyText"/>
      </w:pPr>
      <w:r>
        <w:t xml:space="preserve">The consumer backdrop is difficult: MDLZ sees affordability pressure, a stagnant shopping basket, and channel migration toward value, club, and online.</w:t>
      </w:r>
    </w:p>
    <w:p>
      <w:pPr>
        <w:pStyle w:val="BodyText"/>
      </w:pPr>
      <w:r>
        <w:rPr>
          <w:b/>
          <w:bCs/>
        </w:rPr>
        <w:t xml:space="preserve">Focus:</w:t>
      </w:r>
      <w:r>
        <w:t xml:space="preserve"> </w:t>
      </w:r>
      <w:r>
        <w:t xml:space="preserve">U.S. biscuits volume and share; Ritz, Oreo, and Sour Patch Kids trends; club/value-channel growth; the return on brand investment; and signs that North American margin pressure is abating.</w:t>
      </w:r>
    </w:p>
    <w:p>
      <w:r>
        <w:pict>
          <v:rect style="width:0;height:1.5pt" o:hralign="center" o:hrstd="t" o:hr="t"/>
        </w:pict>
      </w:r>
    </w:p>
    <w:bookmarkEnd w:id="18"/>
    <w:bookmarkEnd w:id="19"/>
    <w:bookmarkStart w:id="23" w:name="other-swing-factors"/>
    <w:p>
      <w:pPr>
        <w:pStyle w:val="Heading2"/>
      </w:pPr>
      <w:r>
        <w:t xml:space="preserve">Other swing factors</w:t>
      </w:r>
    </w:p>
    <w:bookmarkStart w:id="20" w:name="geopolitical-disruption-and-freight"/>
    <w:p>
      <w:pPr>
        <w:pStyle w:val="Heading3"/>
      </w:pPr>
      <w:r>
        <w:t xml:space="preserve">Geopolitical disruption and freight</w:t>
      </w:r>
    </w:p>
    <w:p>
      <w:pPr>
        <w:pStyle w:val="FirstParagraph"/>
      </w:pPr>
      <w:r>
        <w:t xml:space="preserve">MDLZ cited higher costs tied to Middle East shipping disruption and temporarily reduced capacity at its Bahrain facility. The directly affected Middle Eastern countries represented only about 1% of Q1 revenue, but freight, shipping routes, oil, packaging, and broader consumer confidence could have wider implications.</w:t>
      </w:r>
    </w:p>
    <w:bookmarkEnd w:id="20"/>
    <w:bookmarkStart w:id="21" w:name="tariffs-and-trade-policy"/>
    <w:p>
      <w:pPr>
        <w:pStyle w:val="Heading3"/>
      </w:pPr>
      <w:r>
        <w:t xml:space="preserve">Tariffs and trade policy</w:t>
      </w:r>
    </w:p>
    <w:p>
      <w:pPr>
        <w:pStyle w:val="FirstParagraph"/>
      </w:pPr>
      <w:r>
        <w:t xml:space="preserve">The company’s full-year guidance explicitly did</w:t>
      </w:r>
      <w:r>
        <w:t xml:space="preserve"> </w:t>
      </w:r>
      <w:r>
        <w:rPr>
          <w:b/>
          <w:bCs/>
        </w:rPr>
        <w:t xml:space="preserve">not</w:t>
      </w:r>
      <w:r>
        <w:t xml:space="preserve"> </w:t>
      </w:r>
      <w:r>
        <w:t xml:space="preserve">incorporate potential changes to USMCA-compliant trade. In its Q1 filing, MDLZ said it expected additional tariff actions could adversely affect revenue and cost of goods sold, potentially significantly. While much of its Mexico and Canada trade has historically qualified for USMCA treatment, that exemption remains an important risk variable.</w:t>
      </w:r>
    </w:p>
    <w:bookmarkEnd w:id="21"/>
    <w:bookmarkStart w:id="22" w:name="cash-flow-and-capital-allocation"/>
    <w:p>
      <w:pPr>
        <w:pStyle w:val="Heading3"/>
      </w:pPr>
      <w:r>
        <w:t xml:space="preserve">Cash flow and capital allocation</w:t>
      </w:r>
    </w:p>
    <w:p>
      <w:pPr>
        <w:pStyle w:val="FirstParagraph"/>
      </w:pPr>
      <w:r>
        <w:t xml:space="preserve">First-quarter free cash flow was only</w:t>
      </w:r>
      <w:r>
        <w:t xml:space="preserve"> </w:t>
      </w:r>
      <w:r>
        <w:rPr>
          <w:b/>
          <w:bCs/>
        </w:rPr>
        <w:t xml:space="preserve">$155 million</w:t>
      </w:r>
      <w:r>
        <w:t xml:space="preserve">, down from</w:t>
      </w:r>
      <w:r>
        <w:t xml:space="preserve"> </w:t>
      </w:r>
      <m:oMath>
        <m:r>
          <m:t>815</m:t>
        </m:r>
        <m:r>
          <m:t>m</m:t>
        </m:r>
        <m:r>
          <m:t>i</m:t>
        </m:r>
        <m:r>
          <m:t>l</m:t>
        </m:r>
        <m:r>
          <m:t>l</m:t>
        </m:r>
        <m:r>
          <m:t>i</m:t>
        </m:r>
        <m:r>
          <m:t>o</m:t>
        </m:r>
        <m:r>
          <m:t>n</m:t>
        </m:r>
        <m:r>
          <m:t>a</m:t>
        </m:r>
        <m:r>
          <m:t>y</m:t>
        </m:r>
        <m:r>
          <m:t>e</m:t>
        </m:r>
        <m:r>
          <m:t>a</m:t>
        </m:r>
        <m:r>
          <m:t>r</m:t>
        </m:r>
        <m:r>
          <m:t>e</m:t>
        </m:r>
        <m:r>
          <m:t>a</m:t>
        </m:r>
        <m:r>
          <m:t>r</m:t>
        </m:r>
        <m:r>
          <m:t>l</m:t>
        </m:r>
        <m:r>
          <m:t>i</m:t>
        </m:r>
        <m:r>
          <m:t>e</m:t>
        </m:r>
        <m:r>
          <m:t>r</m:t>
        </m:r>
        <m:r>
          <m:rPr>
            <m:sty m:val="p"/>
          </m:rPr>
          <m:t>,</m:t>
        </m:r>
        <m:r>
          <m:t>r</m:t>
        </m:r>
        <m:r>
          <m:t>e</m:t>
        </m:r>
        <m:r>
          <m:t>f</m:t>
        </m:r>
        <m:r>
          <m:t>l</m:t>
        </m:r>
        <m:r>
          <m:t>e</m:t>
        </m:r>
        <m:r>
          <m:t>c</m:t>
        </m:r>
        <m:r>
          <m:t>t</m:t>
        </m:r>
        <m:r>
          <m:t>i</m:t>
        </m:r>
        <m:r>
          <m:t>n</m:t>
        </m:r>
        <m:r>
          <m:t>g</m:t>
        </m:r>
        <m:r>
          <m:t>l</m:t>
        </m:r>
        <m:r>
          <m:t>o</m:t>
        </m:r>
        <m:r>
          <m:t>w</m:t>
        </m:r>
        <m:r>
          <m:t>e</m:t>
        </m:r>
        <m:r>
          <m:t>r</m:t>
        </m:r>
        <m:r>
          <m:t>o</m:t>
        </m:r>
        <m:r>
          <m:t>p</m:t>
        </m:r>
        <m:r>
          <m:t>e</m:t>
        </m:r>
        <m:r>
          <m:t>r</m:t>
        </m:r>
        <m:r>
          <m:t>a</m:t>
        </m:r>
        <m:r>
          <m:t>t</m:t>
        </m:r>
        <m:r>
          <m:t>i</m:t>
        </m:r>
        <m:r>
          <m:t>n</m:t>
        </m:r>
        <m:r>
          <m:t>g</m:t>
        </m:r>
        <m:r>
          <m:t>c</m:t>
        </m:r>
        <m:r>
          <m:t>a</m:t>
        </m:r>
        <m:r>
          <m:t>s</m:t>
        </m:r>
        <m:r>
          <m:t>h</m:t>
        </m:r>
        <m:r>
          <m:t>f</m:t>
        </m:r>
        <m:r>
          <m:t>l</m:t>
        </m:r>
        <m:r>
          <m:t>o</m:t>
        </m:r>
        <m:r>
          <m:t>w</m:t>
        </m:r>
        <m:r>
          <m:rPr>
            <m:sty m:val="p"/>
          </m:rPr>
          <m:t>,</m:t>
        </m:r>
        <m:r>
          <m:t>w</m:t>
        </m:r>
        <m:r>
          <m:t>o</m:t>
        </m:r>
        <m:r>
          <m:t>r</m:t>
        </m:r>
        <m:r>
          <m:t>k</m:t>
        </m:r>
        <m:r>
          <m:t>i</m:t>
        </m:r>
        <m:r>
          <m:t>n</m:t>
        </m:r>
        <m:r>
          <m:t>g</m:t>
        </m:r>
        <m:r>
          <m:rPr>
            <m:sty m:val="p"/>
          </m:rPr>
          <m:t>−</m:t>
        </m:r>
        <m:r>
          <m:t>c</m:t>
        </m:r>
        <m:r>
          <m:t>a</m:t>
        </m:r>
        <m:r>
          <m:t>p</m:t>
        </m:r>
        <m:r>
          <m:t>i</m:t>
        </m:r>
        <m:r>
          <m:t>t</m:t>
        </m:r>
        <m:r>
          <m:t>a</m:t>
        </m:r>
        <m:r>
          <m:t>l</m:t>
        </m:r>
        <m:r>
          <m:t>m</m:t>
        </m:r>
        <m:r>
          <m:t>o</m:t>
        </m:r>
        <m:r>
          <m:t>v</m:t>
        </m:r>
        <m:r>
          <m:t>e</m:t>
        </m:r>
        <m:r>
          <m:t>m</m:t>
        </m:r>
        <m:r>
          <m:t>e</m:t>
        </m:r>
        <m:r>
          <m:t>n</m:t>
        </m:r>
        <m:r>
          <m:t>t</m:t>
        </m:r>
        <m:r>
          <m:t>s</m:t>
        </m:r>
        <m:r>
          <m:rPr>
            <m:sty m:val="p"/>
          </m:rPr>
          <m:t>,</m:t>
        </m:r>
        <m:r>
          <m:t>d</m:t>
        </m:r>
        <m:r>
          <m:t>e</m:t>
        </m:r>
        <m:r>
          <m:t>r</m:t>
        </m:r>
        <m:r>
          <m:t>i</m:t>
        </m:r>
        <m:r>
          <m:t>v</m:t>
        </m:r>
        <m:r>
          <m:t>a</m:t>
        </m:r>
        <m:r>
          <m:t>t</m:t>
        </m:r>
        <m:r>
          <m:t>i</m:t>
        </m:r>
        <m:r>
          <m:t>v</m:t>
        </m:r>
        <m:r>
          <m:t>e</m:t>
        </m:r>
        <m:r>
          <m:t>s</m:t>
        </m:r>
        <m:r>
          <m:t>e</m:t>
        </m:r>
        <m:r>
          <m:t>t</m:t>
        </m:r>
        <m:r>
          <m:t>t</m:t>
        </m:r>
        <m:r>
          <m:t>l</m:t>
        </m:r>
        <m:r>
          <m:t>e</m:t>
        </m:r>
        <m:r>
          <m:t>m</m:t>
        </m:r>
        <m:r>
          <m:t>e</m:t>
        </m:r>
        <m:r>
          <m:t>n</m:t>
        </m:r>
        <m:r>
          <m:t>t</m:t>
        </m:r>
        <m:r>
          <m:t>s</m:t>
        </m:r>
        <m:r>
          <m:rPr>
            <m:sty m:val="p"/>
          </m:rPr>
          <m:t>,</m:t>
        </m:r>
        <m:r>
          <m:t>a</m:t>
        </m:r>
        <m:r>
          <m:t>n</m:t>
        </m:r>
        <m:r>
          <m:t>d</m:t>
        </m:r>
        <m:r>
          <m:t>h</m:t>
        </m:r>
        <m:r>
          <m:t>i</m:t>
        </m:r>
        <m:r>
          <m:t>g</m:t>
        </m:r>
        <m:r>
          <m:t>h</m:t>
        </m:r>
        <m:r>
          <m:t>e</m:t>
        </m:r>
        <m:r>
          <m:t>r</m:t>
        </m:r>
        <m:r>
          <m:t>c</m:t>
        </m:r>
        <m:r>
          <m:t>a</m:t>
        </m:r>
        <m:r>
          <m:t>p</m:t>
        </m:r>
        <m:r>
          <m:t>e</m:t>
        </m:r>
        <m:r>
          <m:t>x</m:t>
        </m:r>
        <m:r>
          <m:rPr>
            <m:sty m:val="p"/>
          </m:rPr>
          <m:t>.</m:t>
        </m:r>
        <m:r>
          <m:t>T</m:t>
        </m:r>
        <m:r>
          <m:t>h</m:t>
        </m:r>
        <m:r>
          <m:t>e</m:t>
        </m:r>
        <m:r>
          <m:t>q</m:t>
        </m:r>
        <m:r>
          <m:t>u</m:t>
        </m:r>
        <m:r>
          <m:t>a</m:t>
        </m:r>
        <m:r>
          <m:t>r</m:t>
        </m:r>
        <m:r>
          <m:t>t</m:t>
        </m:r>
        <m:r>
          <m:t>e</m:t>
        </m:r>
        <m:r>
          <m:t>r</m:t>
        </m:r>
        <m:r>
          <m:t>i</m:t>
        </m:r>
        <m:r>
          <m:t>s</m:t>
        </m:r>
        <m:r>
          <m:t>s</m:t>
        </m:r>
        <m:r>
          <m:t>e</m:t>
        </m:r>
        <m:r>
          <m:t>a</m:t>
        </m:r>
        <m:r>
          <m:t>s</m:t>
        </m:r>
        <m:r>
          <m:t>o</m:t>
        </m:r>
        <m:r>
          <m:t>n</m:t>
        </m:r>
        <m:r>
          <m:t>a</m:t>
        </m:r>
        <m:r>
          <m:t>l</m:t>
        </m:r>
        <m:r>
          <m:t>l</m:t>
        </m:r>
        <m:r>
          <m:t>y</m:t>
        </m:r>
        <m:r>
          <m:t>n</m:t>
        </m:r>
        <m:r>
          <m:t>o</m:t>
        </m:r>
        <m:r>
          <m:t>t</m:t>
        </m:r>
        <m:r>
          <m:t>d</m:t>
        </m:r>
        <m:r>
          <m:t>e</m:t>
        </m:r>
        <m:r>
          <m:t>c</m:t>
        </m:r>
        <m:r>
          <m:t>i</m:t>
        </m:r>
        <m:r>
          <m:t>s</m:t>
        </m:r>
        <m:r>
          <m:t>i</m:t>
        </m:r>
        <m:r>
          <m:t>v</m:t>
        </m:r>
        <m:r>
          <m:t>e</m:t>
        </m:r>
        <m:r>
          <m:rPr>
            <m:sty m:val="p"/>
          </m:rPr>
          <m:t>,</m:t>
        </m:r>
        <m:r>
          <m:t>b</m:t>
        </m:r>
        <m:r>
          <m:t>u</m:t>
        </m:r>
        <m:r>
          <m:t>t</m:t>
        </m:r>
        <m:r>
          <m:t>i</m:t>
        </m:r>
        <m:r>
          <m:t>n</m:t>
        </m:r>
        <m:r>
          <m:t>v</m:t>
        </m:r>
        <m:r>
          <m:t>e</m:t>
        </m:r>
        <m:r>
          <m:t>s</m:t>
        </m:r>
        <m:r>
          <m:t>t</m:t>
        </m:r>
        <m:r>
          <m:t>o</m:t>
        </m:r>
        <m:r>
          <m:t>r</m:t>
        </m:r>
        <m:r>
          <m:t>s</m:t>
        </m:r>
        <m:r>
          <m:t>s</m:t>
        </m:r>
        <m:r>
          <m:t>h</m:t>
        </m:r>
        <m:r>
          <m:t>o</m:t>
        </m:r>
        <m:r>
          <m:t>u</m:t>
        </m:r>
        <m:r>
          <m:t>l</m:t>
        </m:r>
        <m:r>
          <m:t>d</m:t>
        </m:r>
        <m:r>
          <m:t>m</m:t>
        </m:r>
        <m:r>
          <m:t>o</m:t>
        </m:r>
        <m:r>
          <m:t>n</m:t>
        </m:r>
        <m:r>
          <m:t>i</m:t>
        </m:r>
        <m:r>
          <m:t>t</m:t>
        </m:r>
        <m:r>
          <m:t>o</m:t>
        </m:r>
        <m:r>
          <m:t>r</m:t>
        </m:r>
        <m:r>
          <m:t>w</m:t>
        </m:r>
        <m:r>
          <m:t>h</m:t>
        </m:r>
        <m:r>
          <m:t>e</m:t>
        </m:r>
        <m:r>
          <m:t>t</m:t>
        </m:r>
        <m:r>
          <m:t>h</m:t>
        </m:r>
        <m:r>
          <m:t>e</m:t>
        </m:r>
        <m:r>
          <m:t>r</m:t>
        </m:r>
        <m:r>
          <m:t>t</m:t>
        </m:r>
        <m:r>
          <m:t>h</m:t>
        </m:r>
        <m:r>
          <m:t>e</m:t>
        </m:r>
        <m:r>
          <m:t>c</m:t>
        </m:r>
        <m:r>
          <m:t>o</m:t>
        </m:r>
        <m:r>
          <m:t>m</m:t>
        </m:r>
        <m:r>
          <m:t>p</m:t>
        </m:r>
        <m:r>
          <m:t>a</m:t>
        </m:r>
        <m:r>
          <m:t>n</m:t>
        </m:r>
        <m:r>
          <m:t>y</m:t>
        </m:r>
        <m:r>
          <m:t>m</m:t>
        </m:r>
        <m:r>
          <m:t>a</m:t>
        </m:r>
        <m:r>
          <m:t>i</m:t>
        </m:r>
        <m:r>
          <m:t>n</m:t>
        </m:r>
        <m:r>
          <m:t>t</m:t>
        </m:r>
        <m:r>
          <m:t>a</m:t>
        </m:r>
        <m:r>
          <m:t>i</m:t>
        </m:r>
        <m:r>
          <m:t>n</m:t>
        </m:r>
        <m:r>
          <m:t>s</m:t>
        </m:r>
        <m:r>
          <m:t>c</m:t>
        </m:r>
        <m:r>
          <m:t>o</m:t>
        </m:r>
        <m:r>
          <m:t>n</m:t>
        </m:r>
        <m:r>
          <m:t>f</m:t>
        </m:r>
        <m:r>
          <m:t>i</m:t>
        </m:r>
        <m:r>
          <m:t>d</m:t>
        </m:r>
        <m:r>
          <m:t>e</m:t>
        </m:r>
        <m:r>
          <m:t>n</m:t>
        </m:r>
        <m:r>
          <m:t>c</m:t>
        </m:r>
        <m:r>
          <m:t>e</m:t>
        </m:r>
        <m:r>
          <m:t>i</m:t>
        </m:r>
        <m:r>
          <m:t>n</m:t>
        </m:r>
        <m:r>
          <m:t>i</m:t>
        </m:r>
        <m:r>
          <m:t>t</m:t>
        </m:r>
        <m:r>
          <m:t>s</m:t>
        </m:r>
        <m:r>
          <m:t>a</m:t>
        </m:r>
        <m:r>
          <m:t>p</m:t>
        </m:r>
        <m:r>
          <m:t>p</m:t>
        </m:r>
        <m:r>
          <m:t>r</m:t>
        </m:r>
        <m:r>
          <m:t>o</m:t>
        </m:r>
        <m:r>
          <m:t>x</m:t>
        </m:r>
        <m:r>
          <m:t>i</m:t>
        </m:r>
        <m:r>
          <m:t>m</m:t>
        </m:r>
        <m:r>
          <m:t>a</m:t>
        </m:r>
        <m:r>
          <m:t>t</m:t>
        </m:r>
        <m:r>
          <m:t>e</m:t>
        </m:r>
        <m:r>
          <m:t>l</m:t>
        </m:r>
        <m:r>
          <m:t>y</m:t>
        </m:r>
        <m:r>
          <m:rPr>
            <m:sty m:val="p"/>
          </m:rPr>
          <m:t>*</m:t>
        </m:r>
        <m:r>
          <m:rPr>
            <m:sty m:val="p"/>
          </m:rPr>
          <m:t>*</m:t>
        </m:r>
      </m:oMath>
      <w:r>
        <w:t xml:space="preserve">3 billion** full-year free-cash-flow target while funding the ERP program and brand investment.</w:t>
      </w:r>
    </w:p>
    <w:p>
      <w:r>
        <w:pict>
          <v:rect style="width:0;height:1.5pt" o:hralign="center" o:hrstd="t" o:hr="t"/>
        </w:pict>
      </w:r>
    </w:p>
    <w:bookmarkEnd w:id="22"/>
    <w:bookmarkEnd w:id="23"/>
    <w:bookmarkStart w:id="24" w:name="what-could-drive-the-stock-higher"/>
    <w:p>
      <w:pPr>
        <w:pStyle w:val="Heading2"/>
      </w:pPr>
      <w:r>
        <w:t xml:space="preserve">What could drive the stock higher?</w:t>
      </w:r>
    </w:p>
    <w:p>
      <w:pPr>
        <w:pStyle w:val="Compact"/>
        <w:numPr>
          <w:ilvl w:val="0"/>
          <w:numId w:val="1008"/>
        </w:numPr>
      </w:pPr>
      <w:r>
        <w:rPr>
          <w:b/>
          <w:bCs/>
        </w:rPr>
        <w:t xml:space="preserve">Organic growth above ~1%</w:t>
      </w:r>
      <w:r>
        <w:t xml:space="preserve"> </w:t>
      </w:r>
      <w:r>
        <w:t xml:space="preserve">with improving volume/mix rather than more pricing.</w:t>
      </w:r>
    </w:p>
    <w:p>
      <w:pPr>
        <w:pStyle w:val="Compact"/>
        <w:numPr>
          <w:ilvl w:val="0"/>
          <w:numId w:val="1008"/>
        </w:numPr>
      </w:pPr>
      <w:r>
        <w:rPr>
          <w:b/>
          <w:bCs/>
        </w:rPr>
        <w:t xml:space="preserve">Europe better than expected</w:t>
      </w:r>
      <w:r>
        <w:t xml:space="preserve">, particularly chocolate volume and share.</w:t>
      </w:r>
    </w:p>
    <w:p>
      <w:pPr>
        <w:pStyle w:val="Compact"/>
        <w:numPr>
          <w:ilvl w:val="0"/>
          <w:numId w:val="1008"/>
        </w:numPr>
      </w:pPr>
      <w:r>
        <w:rPr>
          <w:b/>
          <w:bCs/>
        </w:rPr>
        <w:t xml:space="preserve">Clear North American progress</w:t>
      </w:r>
      <w:r>
        <w:t xml:space="preserve">, including a positive volume trajectory in biscuits.</w:t>
      </w:r>
    </w:p>
    <w:p>
      <w:pPr>
        <w:pStyle w:val="Compact"/>
        <w:numPr>
          <w:ilvl w:val="0"/>
          <w:numId w:val="1008"/>
        </w:numPr>
      </w:pPr>
      <w:r>
        <w:rPr>
          <w:b/>
          <w:bCs/>
        </w:rPr>
        <w:t xml:space="preserve">Gross-margin stabilization</w:t>
      </w:r>
      <w:r>
        <w:t xml:space="preserve"> </w:t>
      </w:r>
      <w:r>
        <w:t xml:space="preserve">or a more favorable outlook for second-half commodity costs.</w:t>
      </w:r>
    </w:p>
    <w:p>
      <w:pPr>
        <w:pStyle w:val="Compact"/>
        <w:numPr>
          <w:ilvl w:val="0"/>
          <w:numId w:val="1008"/>
        </w:numPr>
      </w:pPr>
      <w:r>
        <w:t xml:space="preserve">A confident</w:t>
      </w:r>
      <w:r>
        <w:t xml:space="preserve"> </w:t>
      </w:r>
      <w:r>
        <w:rPr>
          <w:b/>
          <w:bCs/>
        </w:rPr>
        <w:t xml:space="preserve">reaffirmation or increase</w:t>
      </w:r>
      <w:r>
        <w:t xml:space="preserve"> </w:t>
      </w:r>
      <w:r>
        <w:t xml:space="preserve">to 2026 EPS guidance, coupled with stronger 2027 commentary.</w:t>
      </w:r>
    </w:p>
    <w:p>
      <w:pPr>
        <w:pStyle w:val="Compact"/>
        <w:numPr>
          <w:ilvl w:val="0"/>
          <w:numId w:val="1008"/>
        </w:numPr>
      </w:pPr>
      <w:r>
        <w:t xml:space="preserve">Evidence that Biscoff, premium chocolate, protein/better-for-you, and North American venture brands are contributing meaningfully to growth.</w:t>
      </w:r>
    </w:p>
    <w:bookmarkEnd w:id="24"/>
    <w:bookmarkStart w:id="25" w:name="what-could-drive-the-stock-lower"/>
    <w:p>
      <w:pPr>
        <w:pStyle w:val="Heading2"/>
      </w:pPr>
      <w:r>
        <w:t xml:space="preserve">What could drive the stock lower?</w:t>
      </w:r>
    </w:p>
    <w:p>
      <w:pPr>
        <w:pStyle w:val="Compact"/>
        <w:numPr>
          <w:ilvl w:val="0"/>
          <w:numId w:val="1009"/>
        </w:numPr>
      </w:pPr>
      <w:r>
        <w:t xml:space="preserve">Organic growth that is price-led while volume/mix worsens again.</w:t>
      </w:r>
    </w:p>
    <w:p>
      <w:pPr>
        <w:pStyle w:val="Compact"/>
        <w:numPr>
          <w:ilvl w:val="0"/>
          <w:numId w:val="1009"/>
        </w:numPr>
      </w:pPr>
      <w:r>
        <w:t xml:space="preserve">A miss in Europe or North America, especially if consumer affordability pressure intensifies.</w:t>
      </w:r>
    </w:p>
    <w:p>
      <w:pPr>
        <w:pStyle w:val="Compact"/>
        <w:numPr>
          <w:ilvl w:val="0"/>
          <w:numId w:val="1009"/>
        </w:numPr>
      </w:pPr>
      <w:r>
        <w:t xml:space="preserve">Another sharp margin decline without a convincing timeline for cocoa-cost relief.</w:t>
      </w:r>
    </w:p>
    <w:p>
      <w:pPr>
        <w:pStyle w:val="Compact"/>
        <w:numPr>
          <w:ilvl w:val="0"/>
          <w:numId w:val="1009"/>
        </w:numPr>
      </w:pPr>
      <w:r>
        <w:t xml:space="preserve">Guidance reduction driven by freight, energy, tariffs, FX, or incremental reinvestment.</w:t>
      </w:r>
    </w:p>
    <w:p>
      <w:pPr>
        <w:pStyle w:val="Compact"/>
        <w:numPr>
          <w:ilvl w:val="0"/>
          <w:numId w:val="1009"/>
        </w:numPr>
      </w:pPr>
      <w:r>
        <w:t xml:space="preserve">Weaker free-cash-flow expectations or higher-than-expected ERP and restructuring costs.</w:t>
      </w:r>
    </w:p>
    <w:p>
      <w:pPr>
        <w:pStyle w:val="Compact"/>
        <w:numPr>
          <w:ilvl w:val="0"/>
          <w:numId w:val="1009"/>
        </w:numPr>
      </w:pPr>
      <w:r>
        <w:t xml:space="preserve">Indications that cocoa’s lower spot price will not meaningfully help earnings until well into 2027.</w:t>
      </w:r>
    </w:p>
    <w:p>
      <w:r>
        <w:pict>
          <v:rect style="width:0;height:1.5pt" o:hralign="center" o:hrstd="t" o:hr="t"/>
        </w:pict>
      </w:r>
    </w:p>
    <w:bookmarkEnd w:id="25"/>
    <w:bookmarkStart w:id="27" w:name="bottom-line"/>
    <w:p>
      <w:pPr>
        <w:pStyle w:val="Heading2"/>
      </w:pPr>
      <w:r>
        <w:t xml:space="preserve">Bottom line</w:t>
      </w:r>
    </w:p>
    <w:p>
      <w:pPr>
        <w:pStyle w:val="FirstParagraph"/>
      </w:pPr>
      <w:r>
        <w:t xml:space="preserve">MDLZ’s Q2 report is less about whether it can meet a modest</w:t>
      </w:r>
      <w:r>
        <w:t xml:space="preserve"> </w:t>
      </w:r>
      <w:r>
        <w:rPr>
          <w:b/>
          <w:bCs/>
        </w:rPr>
        <w:t xml:space="preserve">$0.68</w:t>
      </w:r>
      <w:r>
        <w:t xml:space="preserve"> </w:t>
      </w:r>
      <w:r>
        <w:t xml:space="preserve">EPS expectation and more about whether management can validate a transition from a</w:t>
      </w:r>
      <w:r>
        <w:t xml:space="preserve"> </w:t>
      </w:r>
      <w:r>
        <w:rPr>
          <w:b/>
          <w:bCs/>
        </w:rPr>
        <w:t xml:space="preserve">pricing-and-cost-pressure story</w:t>
      </w:r>
      <w:r>
        <w:t xml:space="preserve"> </w:t>
      </w:r>
      <w:r>
        <w:t xml:space="preserve">to a</w:t>
      </w:r>
      <w:r>
        <w:t xml:space="preserve"> </w:t>
      </w:r>
      <w:r>
        <w:rPr>
          <w:b/>
          <w:bCs/>
        </w:rPr>
        <w:t xml:space="preserve">volume-and-margin-recovery story</w:t>
      </w:r>
      <w:r>
        <w:t xml:space="preserve">.</w:t>
      </w:r>
    </w:p>
    <w:p>
      <w:pPr>
        <w:pStyle w:val="BodyText"/>
      </w:pPr>
      <w:r>
        <w:t xml:space="preserve">The favorable case is increasingly visible: emerging markets are growing, European execution appears improved, North American share initiatives are gaining traction, and cocoa fundamentals look less threatening than they did a year ago. The obstacle is timing. High-cost inventory, hedges, promotional reinvestment, geopolitics, and trade uncertainty can all postpone earnings relief.</w:t>
      </w:r>
    </w:p>
    <w:p>
      <w:pPr>
        <w:pStyle w:val="BodyText"/>
      </w:pPr>
      <w:r>
        <w:t xml:space="preserve">A constructive Q2 would show sequential volume improvement, particularly in Europe and North America, alongside evidence that the margin trough is near. Without that, MDLZ may remain viewed as a solid long-term global-snacking franchise whose near-term earnings recovery is still deferred.</w:t>
      </w:r>
    </w:p>
    <w:p>
      <w:r>
        <w:pict>
          <v:rect style="width:0;height:1.5pt" o:hralign="center" o:hrstd="t" o:hr="t"/>
        </w:pict>
      </w:r>
    </w:p>
    <w:bookmarkStart w:id="26" w:name="research-materials-reviewed"/>
    <w:p>
      <w:pPr>
        <w:pStyle w:val="Heading3"/>
      </w:pPr>
      <w:r>
        <w:t xml:space="preserve">Research materials reviewed</w:t>
      </w:r>
    </w:p>
    <w:p>
      <w:pPr>
        <w:pStyle w:val="Compact"/>
        <w:numPr>
          <w:ilvl w:val="0"/>
          <w:numId w:val="1010"/>
        </w:numPr>
      </w:pPr>
      <w:r>
        <w:t xml:space="preserve">Mondelēz Q1 2026 earnings release, April 28, 2026</w:t>
      </w:r>
    </w:p>
    <w:p>
      <w:pPr>
        <w:pStyle w:val="Compact"/>
        <w:numPr>
          <w:ilvl w:val="0"/>
          <w:numId w:val="1010"/>
        </w:numPr>
      </w:pPr>
      <w:r>
        <w:t xml:space="preserve">Mondelēz Q1 2026 earnings-call transcript, April 28, 2026</w:t>
      </w:r>
    </w:p>
    <w:p>
      <w:pPr>
        <w:pStyle w:val="Compact"/>
        <w:numPr>
          <w:ilvl w:val="0"/>
          <w:numId w:val="1010"/>
        </w:numPr>
      </w:pPr>
      <w:r>
        <w:t xml:space="preserve">Mondelēz Q1 2026 Form 10-Q / MD&amp;A</w:t>
      </w:r>
    </w:p>
    <w:p>
      <w:pPr>
        <w:pStyle w:val="Compact"/>
        <w:numPr>
          <w:ilvl w:val="0"/>
          <w:numId w:val="1010"/>
        </w:numPr>
      </w:pPr>
      <w:r>
        <w:t xml:space="preserve">Recent MDLZ market-news and consensus digest through July 27, 2026</w:t>
      </w:r>
    </w:p>
    <w:p>
      <w:pPr>
        <w:pStyle w:val="Compact"/>
        <w:numPr>
          <w:ilvl w:val="0"/>
          <w:numId w:val="1010"/>
        </w:numPr>
      </w:pPr>
      <w:r>
        <w:t xml:space="preserve">MDLZ historical share-price data through July 27, 2026</w:t>
      </w:r>
    </w:p>
    <w:bookmarkEnd w:id="26"/>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2026-07-28T01:13:46Z</dcterms:created>
  <dcterms:modified xsi:type="dcterms:W3CDTF">2026-07-28T01:13:46Z</dcterms:modified>
</cp:coreProperties>
</file>

<file path=docProps/custom.xml><?xml version="1.0" encoding="utf-8"?>
<Properties xmlns="http://schemas.openxmlformats.org/officeDocument/2006/custom-properties" xmlns:vt="http://schemas.openxmlformats.org/officeDocument/2006/docPropsVTypes"/>
</file>