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Mondelez International (MDLZ)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Mondelez International, Inc.</w:t>
            </w:r>
          </w:p>
        </w:tc>
      </w:tr>
      <w:tr>
        <w:tc>
          <w:tcPr>
            <w:tcW w:type="dxa" w:w="4320"/>
          </w:tcPr>
          <w:p>
            <w:r>
              <w:rPr>
                <w:rFonts w:ascii="Calibri" w:hAnsi="Calibri"/>
                <w:b/>
                <w:sz w:val="22"/>
              </w:rPr>
              <w:t>Ticker</w:t>
            </w:r>
          </w:p>
        </w:tc>
        <w:tc>
          <w:tcPr>
            <w:tcW w:type="dxa" w:w="4320"/>
          </w:tcPr>
          <w:p>
            <w:r>
              <w:rPr>
                <w:rFonts w:ascii="Calibri" w:hAnsi="Calibri"/>
                <w:sz w:val="22"/>
              </w:rPr>
              <w:t>MDLZ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Late July / Early August 2026</w:t>
            </w:r>
          </w:p>
        </w:tc>
      </w:tr>
      <w:tr>
        <w:tc>
          <w:tcPr>
            <w:tcW w:type="dxa" w:w="4320"/>
          </w:tcPr>
          <w:p>
            <w:r>
              <w:rPr>
                <w:rFonts w:ascii="Calibri" w:hAnsi="Calibri"/>
                <w:b/>
                <w:sz w:val="22"/>
              </w:rPr>
              <w:t>Last Earnings Date</w:t>
            </w:r>
          </w:p>
        </w:tc>
        <w:tc>
          <w:tcPr>
            <w:tcW w:type="dxa" w:w="4320"/>
          </w:tcPr>
          <w:p>
            <w:r>
              <w:rPr>
                <w:rFonts w:ascii="Calibri" w:hAnsi="Calibri"/>
                <w:sz w:val="22"/>
              </w:rPr>
              <w:t>April 28, 2026 (Q1 2026)</w:t>
            </w:r>
          </w:p>
        </w:tc>
      </w:tr>
      <w:tr>
        <w:tc>
          <w:tcPr>
            <w:tcW w:type="dxa" w:w="4320"/>
          </w:tcPr>
          <w:p>
            <w:r>
              <w:rPr>
                <w:rFonts w:ascii="Calibri" w:hAnsi="Calibri"/>
                <w:b/>
                <w:sz w:val="22"/>
              </w:rPr>
              <w:t>Prepared Date</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XLP — Consumer Staples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but not a high bar — consensus organic growth of ~0.75% is achievable given Q1 momentum, but the single biggest swing factor is whether North America biscuit volumes show the sequential improvement management guided for, or whether the Middle East-driven consumer confidence deterioration deepens the category softness.</w:t>
      </w:r>
    </w:p>
    <w:p>
      <w:r>
        <w:rPr>
          <w:rFonts w:ascii="Calibri" w:hAnsi="Calibri"/>
          <w:color w:val="525866"/>
          <w:sz w:val="22"/>
        </w:rPr>
        <w:t xml:space="preserve">Heading into Q2 2026, the bar for MDLZ is deliberately low: consensus organic revenue growth sits at just ~0.75% (vs. 3.0% in Q1 2026), reflecting the market's skepticism about North America's recovery trajectory and the lingering drag from Middle East conflict-related cost headwinds. Management reaffirmed full-year guidance on the Q1 call rather than raising it, explicitly signaling that any EPS upside would be reinvested into the business — a posture that caps near-term earnings upside but builds credibility for the 2027 recovery thesis. Estimate revisions have been essentially flat since the Q1 print, with Q2 organic growth consensus barely moving from the post-earnings baseline (~0.96% to ~0.75%), suggesting the Street has already priced in a soft quarter and is not positioned for a meaningful beat. The stock has gained ~3.6% since the Q1 earnings date (vs. XLP +2.7%), trading in a narrow range of $57–$64, implying the market is neither pricing in a beat nor a miss — the multiple remains compressed relative to historical averages, reflecting ongoing concern about margin recovery timing. The key wildcard is </w:t>
      </w:r>
      <w:r>
        <w:rPr>
          <w:rFonts w:ascii="Calibri" w:hAnsi="Calibri"/>
          <w:b/>
          <w:color w:val="525866"/>
          <w:sz w:val="22"/>
        </w:rPr>
        <w:t>emerging markets momentum</w:t>
      </w:r>
      <w:r>
        <w:rPr>
          <w:rFonts w:ascii="Calibri" w:hAnsi="Calibri"/>
          <w:color w:val="525866"/>
          <w:sz w:val="22"/>
        </w:rPr>
        <w:t>: Q1 EM organic growth of 6.3% was well above the full-year guidance range, and if Q2 sustains that pace — particularly with India's GST tailwind still partially in effect and Brazil/China improving — MDLZ could deliver a revenue beat even if North America disappoints.</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for Q2 2026 — organic growth of ~0.75% vs. 3.0% in Q1 and 5.6% in Q2 2025 is easily beatable if emerging markets sustain momentum. </w:t>
      </w:r>
      <w:r>
        <w:rPr>
          <w:rFonts w:ascii="Calibri" w:hAnsi="Calibri"/>
          <w:b/>
          <w:color w:val="525866"/>
          <w:sz w:val="22"/>
        </w:rPr>
        <w:t>Volume/mix is the bigger swing factor</w:t>
      </w:r>
      <w:r>
        <w:rPr>
          <w:rFonts w:ascii="Calibri" w:hAnsi="Calibri"/>
          <w:color w:val="525866"/>
          <w:sz w:val="22"/>
        </w:rPr>
        <w:t>: consensus expects -1.2% vs. the -0.5% (ex-downsizing) delivered in Q1, and any positive surprise here would be a meaningful signal that the volume recovery is ahead of schedule.</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($B)</w:t>
            </w:r>
          </w:p>
        </w:tc>
        <w:tc>
          <w:tcPr>
            <w:tcW w:type="dxa" w:w="1234"/>
          </w:tcPr>
          <w:p>
            <w:r>
              <w:rPr>
                <w:rFonts w:ascii="Calibri" w:hAnsi="Calibri"/>
                <w:sz w:val="22"/>
              </w:rPr>
              <w:t>$10.08B</w:t>
            </w:r>
          </w:p>
        </w:tc>
        <w:tc>
          <w:tcPr>
            <w:tcW w:type="dxa" w:w="1234"/>
          </w:tcPr>
          <w:p>
            <w:r>
              <w:rPr>
                <w:rFonts w:ascii="Calibri" w:hAnsi="Calibri"/>
                <w:sz w:val="22"/>
              </w:rPr>
              <w:t>$8.98B</w:t>
            </w:r>
          </w:p>
        </w:tc>
        <w:tc>
          <w:tcPr>
            <w:tcW w:type="dxa" w:w="1234"/>
          </w:tcPr>
          <w:p>
            <w:r>
              <w:rPr>
                <w:rFonts w:ascii="Calibri" w:hAnsi="Calibri"/>
                <w:sz w:val="22"/>
              </w:rPr>
              <w:t>$9.23B</w:t>
            </w:r>
          </w:p>
        </w:tc>
        <w:tc>
          <w:tcPr>
            <w:tcW w:type="dxa" w:w="1234"/>
          </w:tcPr>
          <w:p>
            <w:r>
              <w:rPr>
                <w:rFonts w:ascii="Calibri" w:hAnsi="Calibri"/>
                <w:sz w:val="22"/>
              </w:rPr>
              <w:t>+2.7% YoY</w:t>
            </w:r>
          </w:p>
        </w:tc>
        <w:tc>
          <w:tcPr>
            <w:tcW w:type="dxa" w:w="1234"/>
          </w:tcPr>
          <w:p>
            <w:r>
              <w:rPr>
                <w:rFonts w:ascii="Calibri" w:hAnsi="Calibri"/>
                <w:sz w:val="22"/>
              </w:rPr>
              <w:t>~$39.9–40.1B FY</w:t>
            </w:r>
          </w:p>
        </w:tc>
        <w:tc>
          <w:tcPr>
            <w:tcW w:type="dxa" w:w="1234"/>
          </w:tcPr>
          <w:p>
            <w:r>
              <w:rPr>
                <w:rFonts w:ascii="Calibri" w:hAnsi="Calibri"/>
                <w:sz w:val="22"/>
              </w:rPr>
              <w:t>In line</w:t>
            </w:r>
          </w:p>
        </w:tc>
      </w:tr>
      <w:tr>
        <w:tc>
          <w:tcPr>
            <w:tcW w:type="dxa" w:w="1234"/>
          </w:tcPr>
          <w:p>
            <w:r>
              <w:rPr>
                <w:rFonts w:ascii="Calibri" w:hAnsi="Calibri"/>
                <w:sz w:val="22"/>
              </w:rPr>
              <w:t>Organic Revenue Growth (%)</w:t>
            </w:r>
          </w:p>
        </w:tc>
        <w:tc>
          <w:tcPr>
            <w:tcW w:type="dxa" w:w="1234"/>
          </w:tcPr>
          <w:p>
            <w:r>
              <w:rPr>
                <w:rFonts w:ascii="Calibri" w:hAnsi="Calibri"/>
                <w:sz w:val="22"/>
              </w:rPr>
              <w:t>3.0%</w:t>
            </w:r>
          </w:p>
        </w:tc>
        <w:tc>
          <w:tcPr>
            <w:tcW w:type="dxa" w:w="1234"/>
          </w:tcPr>
          <w:p>
            <w:r>
              <w:rPr>
                <w:rFonts w:ascii="Calibri" w:hAnsi="Calibri"/>
                <w:sz w:val="22"/>
              </w:rPr>
              <w:t>5.6%</w:t>
            </w:r>
          </w:p>
        </w:tc>
        <w:tc>
          <w:tcPr>
            <w:tcW w:type="dxa" w:w="1234"/>
          </w:tcPr>
          <w:p>
            <w:r>
              <w:rPr>
                <w:rFonts w:ascii="Calibri" w:hAnsi="Calibri"/>
                <w:sz w:val="22"/>
              </w:rPr>
              <w:t>0.75%</w:t>
            </w:r>
          </w:p>
        </w:tc>
        <w:tc>
          <w:tcPr>
            <w:tcW w:type="dxa" w:w="1234"/>
          </w:tcPr>
          <w:p>
            <w:r>
              <w:rPr>
                <w:rFonts w:ascii="Calibri" w:hAnsi="Calibri"/>
                <w:sz w:val="22"/>
              </w:rPr>
              <w:t>-485 bps YoY</w:t>
            </w:r>
          </w:p>
        </w:tc>
        <w:tc>
          <w:tcPr>
            <w:tcW w:type="dxa" w:w="1234"/>
          </w:tcPr>
          <w:p>
            <w:r>
              <w:rPr>
                <w:rFonts w:ascii="Calibri" w:hAnsi="Calibri"/>
                <w:sz w:val="22"/>
              </w:rPr>
              <w:t>Low single-digit</w:t>
            </w:r>
          </w:p>
        </w:tc>
        <w:tc>
          <w:tcPr>
            <w:tcW w:type="dxa" w:w="1234"/>
          </w:tcPr>
          <w:p>
            <w:r>
              <w:rPr>
                <w:rFonts w:ascii="Calibri" w:hAnsi="Calibri"/>
                <w:sz w:val="22"/>
              </w:rPr>
              <w:t>Below midpoint</w:t>
            </w:r>
          </w:p>
        </w:tc>
      </w:tr>
      <w:tr>
        <w:tc>
          <w:tcPr>
            <w:tcW w:type="dxa" w:w="1234"/>
          </w:tcPr>
          <w:p>
            <w:r>
              <w:rPr>
                <w:rFonts w:ascii="Calibri" w:hAnsi="Calibri"/>
                <w:sz w:val="22"/>
              </w:rPr>
              <w:t>Volume/Mix (%)</w:t>
            </w:r>
          </w:p>
        </w:tc>
        <w:tc>
          <w:tcPr>
            <w:tcW w:type="dxa" w:w="1234"/>
          </w:tcPr>
          <w:p>
            <w:r>
              <w:rPr>
                <w:rFonts w:ascii="Calibri" w:hAnsi="Calibri"/>
                <w:sz w:val="22"/>
              </w:rPr>
              <w:t>-0.5%</w:t>
            </w:r>
          </w:p>
        </w:tc>
        <w:tc>
          <w:tcPr>
            <w:tcW w:type="dxa" w:w="1234"/>
          </w:tcPr>
          <w:p>
            <w:r>
              <w:rPr>
                <w:rFonts w:ascii="Calibri" w:hAnsi="Calibri"/>
                <w:sz w:val="22"/>
              </w:rPr>
              <w:t>-1.5%</w:t>
            </w:r>
          </w:p>
        </w:tc>
        <w:tc>
          <w:tcPr>
            <w:tcW w:type="dxa" w:w="1234"/>
          </w:tcPr>
          <w:p>
            <w:r>
              <w:rPr>
                <w:rFonts w:ascii="Calibri" w:hAnsi="Calibri"/>
                <w:sz w:val="22"/>
              </w:rPr>
              <w:t>-1.2%</w:t>
            </w:r>
          </w:p>
        </w:tc>
        <w:tc>
          <w:tcPr>
            <w:tcW w:type="dxa" w:w="1234"/>
          </w:tcPr>
          <w:p>
            <w:r>
              <w:rPr>
                <w:rFonts w:ascii="Calibri" w:hAnsi="Calibri"/>
                <w:sz w:val="22"/>
              </w:rPr>
              <w:t>+30 bps YoY</w:t>
            </w:r>
          </w:p>
        </w:tc>
        <w:tc>
          <w:tcPr>
            <w:tcW w:type="dxa" w:w="1234"/>
          </w:tcPr>
          <w:p>
            <w:r>
              <w:rPr>
                <w:rFonts w:ascii="Calibri" w:hAnsi="Calibri"/>
                <w:sz w:val="22"/>
              </w:rPr>
              <w:t>Sequential improvement</w:t>
            </w:r>
          </w:p>
        </w:tc>
        <w:tc>
          <w:tcPr>
            <w:tcW w:type="dxa" w:w="1234"/>
          </w:tcPr>
          <w:p>
            <w:r>
              <w:rPr>
                <w:rFonts w:ascii="Calibri" w:hAnsi="Calibri"/>
                <w:sz w:val="22"/>
              </w:rPr>
              <w:t>N/A (no explicit guidance)</w:t>
            </w:r>
          </w:p>
        </w:tc>
      </w:tr>
      <w:tr>
        <w:tc>
          <w:tcPr>
            <w:tcW w:type="dxa" w:w="1234"/>
          </w:tcPr>
          <w:p>
            <w:r>
              <w:rPr>
                <w:rFonts w:ascii="Calibri" w:hAnsi="Calibri"/>
                <w:sz w:val="22"/>
              </w:rPr>
              <w:t>Gross Profit - Operating ($B)</w:t>
            </w:r>
          </w:p>
        </w:tc>
        <w:tc>
          <w:tcPr>
            <w:tcW w:type="dxa" w:w="1234"/>
          </w:tcPr>
          <w:p>
            <w:r>
              <w:rPr>
                <w:rFonts w:ascii="Calibri" w:hAnsi="Calibri"/>
                <w:sz w:val="22"/>
              </w:rPr>
              <w:t>$3.09B</w:t>
            </w:r>
          </w:p>
        </w:tc>
        <w:tc>
          <w:tcPr>
            <w:tcW w:type="dxa" w:w="1234"/>
          </w:tcPr>
          <w:p>
            <w:r>
              <w:rPr>
                <w:rFonts w:ascii="Calibri" w:hAnsi="Calibri"/>
                <w:sz w:val="22"/>
              </w:rPr>
              <w:t>$3.03B</w:t>
            </w:r>
          </w:p>
        </w:tc>
        <w:tc>
          <w:tcPr>
            <w:tcW w:type="dxa" w:w="1234"/>
          </w:tcPr>
          <w:p>
            <w:r>
              <w:rPr>
                <w:rFonts w:ascii="Calibri" w:hAnsi="Calibri"/>
                <w:sz w:val="22"/>
              </w:rPr>
              <w:t>$3.02B</w:t>
            </w:r>
          </w:p>
        </w:tc>
        <w:tc>
          <w:tcPr>
            <w:tcW w:type="dxa" w:w="1234"/>
          </w:tcPr>
          <w:p>
            <w:r>
              <w:rPr>
                <w:rFonts w:ascii="Calibri" w:hAnsi="Calibri"/>
                <w:sz w:val="22"/>
              </w:rPr>
              <w:t>-0.3% YoY</w:t>
            </w:r>
          </w:p>
        </w:tc>
        <w:tc>
          <w:tcPr>
            <w:tcW w:type="dxa" w:w="1234"/>
          </w:tcPr>
          <w:p>
            <w:r>
              <w:rPr>
                <w:rFonts w:ascii="Calibri" w:hAnsi="Calibri"/>
                <w:sz w:val="22"/>
              </w:rPr>
              <w:t>Margin recovery in H2</w:t>
            </w:r>
          </w:p>
        </w:tc>
        <w:tc>
          <w:tcPr>
            <w:tcW w:type="dxa" w:w="1234"/>
          </w:tcPr>
          <w:p>
            <w:r>
              <w:rPr>
                <w:rFonts w:ascii="Calibri" w:hAnsi="Calibri"/>
                <w:sz w:val="22"/>
              </w:rPr>
              <w:t>Slightly below prior year</w:t>
            </w:r>
          </w:p>
        </w:tc>
      </w:tr>
      <w:tr>
        <w:tc>
          <w:tcPr>
            <w:tcW w:type="dxa" w:w="1234"/>
          </w:tcPr>
          <w:p>
            <w:r>
              <w:rPr>
                <w:rFonts w:ascii="Calibri" w:hAnsi="Calibri"/>
                <w:sz w:val="22"/>
              </w:rPr>
              <w:t>Adj. EPS (Diluted-Operating) ($)</w:t>
            </w:r>
          </w:p>
        </w:tc>
        <w:tc>
          <w:tcPr>
            <w:tcW w:type="dxa" w:w="1234"/>
          </w:tcPr>
          <w:p>
            <w:r>
              <w:rPr>
                <w:rFonts w:ascii="Calibri" w:hAnsi="Calibri"/>
                <w:sz w:val="22"/>
              </w:rPr>
              <w:t>$0.67</w:t>
            </w:r>
          </w:p>
        </w:tc>
        <w:tc>
          <w:tcPr>
            <w:tcW w:type="dxa" w:w="1234"/>
          </w:tcPr>
          <w:p>
            <w:r>
              <w:rPr>
                <w:rFonts w:ascii="Calibri" w:hAnsi="Calibri"/>
                <w:sz w:val="22"/>
              </w:rPr>
              <w:t>$0.73</w:t>
            </w:r>
          </w:p>
        </w:tc>
        <w:tc>
          <w:tcPr>
            <w:tcW w:type="dxa" w:w="1234"/>
          </w:tcPr>
          <w:p>
            <w:r>
              <w:rPr>
                <w:rFonts w:ascii="Calibri" w:hAnsi="Calibri"/>
                <w:sz w:val="22"/>
              </w:rPr>
              <w:t>$0.68</w:t>
            </w:r>
          </w:p>
        </w:tc>
        <w:tc>
          <w:tcPr>
            <w:tcW w:type="dxa" w:w="1234"/>
          </w:tcPr>
          <w:p>
            <w:r>
              <w:rPr>
                <w:rFonts w:ascii="Calibri" w:hAnsi="Calibri"/>
                <w:sz w:val="22"/>
              </w:rPr>
              <w:t>-6.8% YoY</w:t>
            </w:r>
          </w:p>
        </w:tc>
        <w:tc>
          <w:tcPr>
            <w:tcW w:type="dxa" w:w="1234"/>
          </w:tcPr>
          <w:p>
            <w:r>
              <w:rPr>
                <w:rFonts w:ascii="Calibri" w:hAnsi="Calibri"/>
                <w:sz w:val="22"/>
              </w:rPr>
              <w:t>~$3.04–3.05 FY</w:t>
            </w:r>
          </w:p>
        </w:tc>
        <w:tc>
          <w:tcPr>
            <w:tcW w:type="dxa" w:w="1234"/>
          </w:tcPr>
          <w:p>
            <w:r>
              <w:rPr>
                <w:rFonts w:ascii="Calibri" w:hAnsi="Calibri"/>
                <w:sz w:val="22"/>
              </w:rPr>
              <w:t>In line with FY run-rate</w:t>
            </w:r>
          </w:p>
        </w:tc>
      </w:tr>
      <w:tr>
        <w:tc>
          <w:tcPr>
            <w:tcW w:type="dxa" w:w="1234"/>
          </w:tcPr>
          <w:p>
            <w:r>
              <w:rPr>
                <w:rFonts w:ascii="Calibri" w:hAnsi="Calibri"/>
                <w:sz w:val="22"/>
              </w:rPr>
              <w:t>Free Cash Flow ($B)</w:t>
            </w:r>
          </w:p>
        </w:tc>
        <w:tc>
          <w:tcPr>
            <w:tcW w:type="dxa" w:w="1234"/>
          </w:tcPr>
          <w:p>
            <w:r>
              <w:rPr>
                <w:rFonts w:ascii="Calibri" w:hAnsi="Calibri"/>
                <w:sz w:val="22"/>
              </w:rPr>
              <w:t>$0.16B</w:t>
            </w:r>
          </w:p>
        </w:tc>
        <w:tc>
          <w:tcPr>
            <w:tcW w:type="dxa" w:w="1234"/>
          </w:tcPr>
          <w:p>
            <w:r>
              <w:rPr>
                <w:rFonts w:ascii="Calibri" w:hAnsi="Calibri"/>
                <w:sz w:val="22"/>
              </w:rPr>
              <w:t>$0.003B</w:t>
            </w:r>
          </w:p>
        </w:tc>
        <w:tc>
          <w:tcPr>
            <w:tcW w:type="dxa" w:w="1234"/>
          </w:tcPr>
          <w:p>
            <w:r>
              <w:rPr>
                <w:rFonts w:ascii="Calibri" w:hAnsi="Calibri"/>
                <w:sz w:val="22"/>
              </w:rPr>
              <w:t>$1.16B</w:t>
            </w:r>
          </w:p>
        </w:tc>
        <w:tc>
          <w:tcPr>
            <w:tcW w:type="dxa" w:w="1234"/>
          </w:tcPr>
          <w:p>
            <w:r>
              <w:rPr>
                <w:rFonts w:ascii="Calibri" w:hAnsi="Calibri"/>
                <w:sz w:val="22"/>
              </w:rPr>
              <w:t>Large YoY improvement</w:t>
            </w:r>
          </w:p>
        </w:tc>
        <w:tc>
          <w:tcPr>
            <w:tcW w:type="dxa" w:w="1234"/>
          </w:tcPr>
          <w:p>
            <w:r>
              <w:rPr>
                <w:rFonts w:ascii="Calibri" w:hAnsi="Calibri"/>
                <w:sz w:val="22"/>
              </w:rPr>
              <w:t>~$3.2B FY</w:t>
            </w:r>
          </w:p>
        </w:tc>
        <w:tc>
          <w:tcPr>
            <w:tcW w:type="dxa" w:w="1234"/>
          </w:tcPr>
          <w:p>
            <w:r>
              <w:rPr>
                <w:rFonts w:ascii="Calibri" w:hAnsi="Calibri"/>
                <w:sz w:val="22"/>
              </w:rPr>
              <w:t>Tracking to FY target</w:t>
            </w:r>
          </w:p>
        </w:tc>
      </w:tr>
    </w:tbl>
    <w:p>
      <w:r>
        <w:rPr>
          <w:rFonts w:ascii="Calibri" w:hAnsi="Calibri"/>
          <w:i/>
          <w:color w:val="525866"/>
          <w:sz w:val="22"/>
        </w:rPr>
        <w:t>Source: Visible Alpha Consensus and Actuals Data</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Organic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2.5%</w:t>
            </w:r>
          </w:p>
        </w:tc>
        <w:tc>
          <w:tcPr>
            <w:tcW w:type="dxa" w:w="1728"/>
          </w:tcPr>
          <w:p>
            <w:r>
              <w:rPr>
                <w:rFonts w:ascii="Calibri" w:hAnsi="Calibri"/>
                <w:sz w:val="22"/>
              </w:rPr>
              <w:t>3.9%</w:t>
            </w:r>
          </w:p>
        </w:tc>
        <w:tc>
          <w:tcPr>
            <w:tcW w:type="dxa" w:w="1728"/>
          </w:tcPr>
          <w:p>
            <w:r>
              <w:rPr>
                <w:rFonts w:ascii="Calibri" w:hAnsi="Calibri"/>
                <w:b/>
                <w:color w:val="E5484D"/>
                <w:sz w:val="22"/>
              </w:rPr>
              <w:t>-144 bps</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5.4%</w:t>
            </w:r>
          </w:p>
        </w:tc>
        <w:tc>
          <w:tcPr>
            <w:tcW w:type="dxa" w:w="1728"/>
          </w:tcPr>
          <w:p>
            <w:r>
              <w:rPr>
                <w:rFonts w:ascii="Calibri" w:hAnsi="Calibri"/>
                <w:sz w:val="22"/>
              </w:rPr>
              <w:t>4.8%</w:t>
            </w:r>
          </w:p>
        </w:tc>
        <w:tc>
          <w:tcPr>
            <w:tcW w:type="dxa" w:w="1728"/>
          </w:tcPr>
          <w:p>
            <w:r>
              <w:rPr>
                <w:rFonts w:ascii="Calibri" w:hAnsi="Calibri"/>
                <w:b/>
                <w:color w:val="30A46C"/>
                <w:sz w:val="22"/>
              </w:rPr>
              <w:t>+56 bps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5.2%</w:t>
            </w:r>
          </w:p>
        </w:tc>
        <w:tc>
          <w:tcPr>
            <w:tcW w:type="dxa" w:w="1728"/>
          </w:tcPr>
          <w:p>
            <w:r>
              <w:rPr>
                <w:rFonts w:ascii="Calibri" w:hAnsi="Calibri"/>
                <w:sz w:val="22"/>
              </w:rPr>
              <w:t>5.8%</w:t>
            </w:r>
          </w:p>
        </w:tc>
        <w:tc>
          <w:tcPr>
            <w:tcW w:type="dxa" w:w="1728"/>
          </w:tcPr>
          <w:p>
            <w:r>
              <w:rPr>
                <w:rFonts w:ascii="Calibri" w:hAnsi="Calibri"/>
                <w:b/>
                <w:color w:val="E5484D"/>
                <w:sz w:val="22"/>
              </w:rPr>
              <w:t>-64 bps</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3.1%</w:t>
            </w:r>
          </w:p>
        </w:tc>
        <w:tc>
          <w:tcPr>
            <w:tcW w:type="dxa" w:w="1728"/>
          </w:tcPr>
          <w:p>
            <w:r>
              <w:rPr>
                <w:rFonts w:ascii="Calibri" w:hAnsi="Calibri"/>
                <w:sz w:val="22"/>
              </w:rPr>
              <w:t>3.5%</w:t>
            </w:r>
          </w:p>
        </w:tc>
        <w:tc>
          <w:tcPr>
            <w:tcW w:type="dxa" w:w="1728"/>
          </w:tcPr>
          <w:p>
            <w:r>
              <w:rPr>
                <w:rFonts w:ascii="Calibri" w:hAnsi="Calibri"/>
                <w:b/>
                <w:color w:val="E5484D"/>
                <w:sz w:val="22"/>
              </w:rPr>
              <w:t>-42 bps</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5.6%</w:t>
            </w:r>
          </w:p>
        </w:tc>
        <w:tc>
          <w:tcPr>
            <w:tcW w:type="dxa" w:w="1728"/>
          </w:tcPr>
          <w:p>
            <w:r>
              <w:rPr>
                <w:rFonts w:ascii="Calibri" w:hAnsi="Calibri"/>
                <w:sz w:val="22"/>
              </w:rPr>
              <w:t>5.6%</w:t>
            </w:r>
          </w:p>
        </w:tc>
        <w:tc>
          <w:tcPr>
            <w:tcW w:type="dxa" w:w="1728"/>
          </w:tcPr>
          <w:p>
            <w:r>
              <w:rPr>
                <w:rFonts w:ascii="Calibri" w:hAnsi="Calibri"/>
                <w:sz w:val="22"/>
              </w:rPr>
              <w:t>0 bps</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3.4%</w:t>
            </w:r>
          </w:p>
        </w:tc>
        <w:tc>
          <w:tcPr>
            <w:tcW w:type="dxa" w:w="1728"/>
          </w:tcPr>
          <w:p>
            <w:r>
              <w:rPr>
                <w:rFonts w:ascii="Calibri" w:hAnsi="Calibri"/>
                <w:sz w:val="22"/>
              </w:rPr>
              <w:t>3.7%</w:t>
            </w:r>
          </w:p>
        </w:tc>
        <w:tc>
          <w:tcPr>
            <w:tcW w:type="dxa" w:w="1728"/>
          </w:tcPr>
          <w:p>
            <w:r>
              <w:rPr>
                <w:rFonts w:ascii="Calibri" w:hAnsi="Calibri"/>
                <w:b/>
                <w:color w:val="E5484D"/>
                <w:sz w:val="22"/>
              </w:rPr>
              <w:t>-29 bps</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5.1%</w:t>
            </w:r>
          </w:p>
        </w:tc>
        <w:tc>
          <w:tcPr>
            <w:tcW w:type="dxa" w:w="1728"/>
          </w:tcPr>
          <w:p>
            <w:r>
              <w:rPr>
                <w:rFonts w:ascii="Calibri" w:hAnsi="Calibri"/>
                <w:sz w:val="22"/>
              </w:rPr>
              <w:t>4.2%</w:t>
            </w:r>
          </w:p>
        </w:tc>
        <w:tc>
          <w:tcPr>
            <w:tcW w:type="dxa" w:w="1728"/>
          </w:tcPr>
          <w:p>
            <w:r>
              <w:rPr>
                <w:rFonts w:ascii="Calibri" w:hAnsi="Calibri"/>
                <w:b/>
                <w:color w:val="30A46C"/>
                <w:sz w:val="22"/>
              </w:rPr>
              <w:t>+93 bps</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3.0%</w:t>
            </w:r>
          </w:p>
        </w:tc>
        <w:tc>
          <w:tcPr>
            <w:tcW w:type="dxa" w:w="1728"/>
          </w:tcPr>
          <w:p>
            <w:r>
              <w:rPr>
                <w:rFonts w:ascii="Calibri" w:hAnsi="Calibri"/>
                <w:sz w:val="22"/>
              </w:rPr>
              <w:t>0.6%</w:t>
            </w:r>
          </w:p>
        </w:tc>
        <w:tc>
          <w:tcPr>
            <w:tcW w:type="dxa" w:w="1728"/>
          </w:tcPr>
          <w:p>
            <w:r>
              <w:rPr>
                <w:rFonts w:ascii="Calibri" w:hAnsi="Calibri"/>
                <w:b/>
                <w:color w:val="30A46C"/>
                <w:sz w:val="22"/>
              </w:rPr>
              <w:t>+248 bps</w:t>
            </w:r>
          </w:p>
        </w:tc>
        <w:tc>
          <w:tcPr>
            <w:tcW w:type="dxa" w:w="1728"/>
          </w:tcPr>
          <w:p>
            <w:r>
              <w:rPr>
                <w:rFonts w:ascii="Calibri" w:hAnsi="Calibri"/>
                <w:sz w:val="22"/>
              </w:rPr>
              <w:t>Large Beat</w:t>
            </w:r>
          </w:p>
        </w:tc>
      </w:tr>
    </w:tbl>
    <w:p>
      <w:pPr>
        <w:pStyle w:val="Heading3"/>
      </w:pPr>
      <w:r>
        <w:rPr>
          <w:rFonts w:ascii="Calibri" w:hAnsi="Calibri"/>
          <w:b/>
          <w:color w:val="3B4259"/>
          <w:sz w:val="24"/>
        </w:rPr>
        <w:t>Adj.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$0.83</w:t>
            </w:r>
          </w:p>
        </w:tc>
        <w:tc>
          <w:tcPr>
            <w:tcW w:type="dxa" w:w="1728"/>
          </w:tcPr>
          <w:p>
            <w:r>
              <w:rPr>
                <w:rFonts w:ascii="Calibri" w:hAnsi="Calibri"/>
                <w:sz w:val="22"/>
              </w:rPr>
              <w:t>$0.79</w:t>
            </w:r>
          </w:p>
        </w:tc>
        <w:tc>
          <w:tcPr>
            <w:tcW w:type="dxa" w:w="1728"/>
          </w:tcPr>
          <w:p>
            <w:r>
              <w:rPr>
                <w:rFonts w:ascii="Calibri" w:hAnsi="Calibri"/>
                <w:b/>
                <w:color w:val="30A46C"/>
                <w:sz w:val="22"/>
              </w:rPr>
              <w:t>+5.1%</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$0.95</w:t>
            </w:r>
          </w:p>
        </w:tc>
        <w:tc>
          <w:tcPr>
            <w:tcW w:type="dxa" w:w="1728"/>
          </w:tcPr>
          <w:p>
            <w:r>
              <w:rPr>
                <w:rFonts w:ascii="Calibri" w:hAnsi="Calibri"/>
                <w:sz w:val="22"/>
              </w:rPr>
              <w:t>$0.85</w:t>
            </w:r>
          </w:p>
        </w:tc>
        <w:tc>
          <w:tcPr>
            <w:tcW w:type="dxa" w:w="1728"/>
          </w:tcPr>
          <w:p>
            <w:r>
              <w:rPr>
                <w:rFonts w:ascii="Calibri" w:hAnsi="Calibri"/>
                <w:b/>
                <w:color w:val="30A46C"/>
                <w:sz w:val="22"/>
              </w:rPr>
              <w:t>+11.6%</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$0.65</w:t>
            </w:r>
          </w:p>
        </w:tc>
        <w:tc>
          <w:tcPr>
            <w:tcW w:type="dxa" w:w="1728"/>
          </w:tcPr>
          <w:p>
            <w:r>
              <w:rPr>
                <w:rFonts w:ascii="Calibri" w:hAnsi="Calibri"/>
                <w:sz w:val="22"/>
              </w:rPr>
              <w:t>$0.66</w:t>
            </w:r>
          </w:p>
        </w:tc>
        <w:tc>
          <w:tcPr>
            <w:tcW w:type="dxa" w:w="1728"/>
          </w:tcPr>
          <w:p>
            <w:r>
              <w:rPr>
                <w:rFonts w:ascii="Calibri" w:hAnsi="Calibri"/>
                <w:b/>
                <w:color w:val="E5484D"/>
                <w:sz w:val="22"/>
              </w:rPr>
              <w:t>-1.5%</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$0.74</w:t>
            </w:r>
          </w:p>
        </w:tc>
        <w:tc>
          <w:tcPr>
            <w:tcW w:type="dxa" w:w="1728"/>
          </w:tcPr>
          <w:p>
            <w:r>
              <w:rPr>
                <w:rFonts w:ascii="Calibri" w:hAnsi="Calibri"/>
                <w:sz w:val="22"/>
              </w:rPr>
              <w:t>$0.66</w:t>
            </w:r>
          </w:p>
        </w:tc>
        <w:tc>
          <w:tcPr>
            <w:tcW w:type="dxa" w:w="1728"/>
          </w:tcPr>
          <w:p>
            <w:r>
              <w:rPr>
                <w:rFonts w:ascii="Calibri" w:hAnsi="Calibri"/>
                <w:b/>
                <w:color w:val="30A46C"/>
                <w:sz w:val="22"/>
              </w:rPr>
              <w:t>+11.8%</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$0.73</w:t>
            </w:r>
          </w:p>
        </w:tc>
        <w:tc>
          <w:tcPr>
            <w:tcW w:type="dxa" w:w="1728"/>
          </w:tcPr>
          <w:p>
            <w:r>
              <w:rPr>
                <w:rFonts w:ascii="Calibri" w:hAnsi="Calibri"/>
                <w:sz w:val="22"/>
              </w:rPr>
              <w:t>$0.69</w:t>
            </w:r>
          </w:p>
        </w:tc>
        <w:tc>
          <w:tcPr>
            <w:tcW w:type="dxa" w:w="1728"/>
          </w:tcPr>
          <w:p>
            <w:r>
              <w:rPr>
                <w:rFonts w:ascii="Calibri" w:hAnsi="Calibri"/>
                <w:b/>
                <w:color w:val="30A46C"/>
                <w:sz w:val="22"/>
              </w:rPr>
              <w:t>+6.6%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$0.73</w:t>
            </w:r>
          </w:p>
        </w:tc>
        <w:tc>
          <w:tcPr>
            <w:tcW w:type="dxa" w:w="1728"/>
          </w:tcPr>
          <w:p>
            <w:r>
              <w:rPr>
                <w:rFonts w:ascii="Calibri" w:hAnsi="Calibri"/>
                <w:sz w:val="22"/>
              </w:rPr>
              <w:t>$0.71</w:t>
            </w:r>
          </w:p>
        </w:tc>
        <w:tc>
          <w:tcPr>
            <w:tcW w:type="dxa" w:w="1728"/>
          </w:tcPr>
          <w:p>
            <w:r>
              <w:rPr>
                <w:rFonts w:ascii="Calibri" w:hAnsi="Calibri"/>
                <w:b/>
                <w:color w:val="30A46C"/>
                <w:sz w:val="22"/>
              </w:rPr>
              <w:t>+2.8%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$0.72</w:t>
            </w:r>
          </w:p>
        </w:tc>
        <w:tc>
          <w:tcPr>
            <w:tcW w:type="dxa" w:w="1728"/>
          </w:tcPr>
          <w:p>
            <w:r>
              <w:rPr>
                <w:rFonts w:ascii="Calibri" w:hAnsi="Calibri"/>
                <w:sz w:val="22"/>
              </w:rPr>
              <w:t>$0.69</w:t>
            </w:r>
          </w:p>
        </w:tc>
        <w:tc>
          <w:tcPr>
            <w:tcW w:type="dxa" w:w="1728"/>
          </w:tcPr>
          <w:p>
            <w:r>
              <w:rPr>
                <w:rFonts w:ascii="Calibri" w:hAnsi="Calibri"/>
                <w:b/>
                <w:color w:val="30A46C"/>
                <w:sz w:val="22"/>
              </w:rPr>
              <w:t>+4.0%</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$0.67</w:t>
            </w:r>
          </w:p>
        </w:tc>
        <w:tc>
          <w:tcPr>
            <w:tcW w:type="dxa" w:w="1728"/>
          </w:tcPr>
          <w:p>
            <w:r>
              <w:rPr>
                <w:rFonts w:ascii="Calibri" w:hAnsi="Calibri"/>
                <w:sz w:val="22"/>
              </w:rPr>
              <w:t>$0.61</w:t>
            </w:r>
          </w:p>
        </w:tc>
        <w:tc>
          <w:tcPr>
            <w:tcW w:type="dxa" w:w="1728"/>
          </w:tcPr>
          <w:p>
            <w:r>
              <w:rPr>
                <w:rFonts w:ascii="Calibri" w:hAnsi="Calibri"/>
                <w:b/>
                <w:color w:val="30A46C"/>
                <w:sz w:val="22"/>
              </w:rPr>
              <w:t>+9.7%</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MDLZ has beaten adj. EPS consensus in 7 of the last 8 quarters, with an average beat of ~6%. On organic revenue growth, the record is more mixed (4 misses, 3 beats, 1 in-line over 8 quarters), but the Q1 2026 beat of +248 bps was the largest in the series — driven by a very low bar set by the Street. With Q2 consensus at just 0.75%, the bar is again low, but the comp from Q2 2025 (5.6%) is the toughest in the year.</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reaffirmed full-year 2026 guidance on the Q1 call rather than raising it, explicitly absorbing Middle East conflict headwinds and signaling a preference to reinvest any EPS upside back into the business. </w:t>
      </w:r>
      <w:r>
        <w:rPr>
          <w:rFonts w:ascii="Calibri" w:hAnsi="Calibri"/>
          <w:b/>
          <w:color w:val="525866"/>
          <w:sz w:val="22"/>
        </w:rPr>
        <w:t>Tone has shifted from cautiously optimistic to strategically patient</w:t>
      </w:r>
      <w:r>
        <w:rPr>
          <w:rFonts w:ascii="Calibri" w:hAnsi="Calibri"/>
          <w:color w:val="525866"/>
          <w:sz w:val="22"/>
        </w:rPr>
        <w:t xml:space="preserve"> — confident in the 2027 recovery thesis but unwilling to guide above the current range until H2 visibility improves.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Revenue Growth</w:t>
            </w:r>
          </w:p>
        </w:tc>
        <w:tc>
          <w:tcPr>
            <w:tcW w:type="dxa" w:w="1728"/>
          </w:tcPr>
          <w:p>
            <w:r>
              <w:rPr>
                <w:rFonts w:ascii="Calibri" w:hAnsi="Calibri"/>
                <w:sz w:val="22"/>
              </w:rPr>
              <w:t>Low single-digit (reaffirmed)</w:t>
            </w:r>
          </w:p>
        </w:tc>
        <w:tc>
          <w:tcPr>
            <w:tcW w:type="dxa" w:w="1728"/>
          </w:tcPr>
          <w:p>
            <w:r>
              <w:rPr>
                <w:rFonts w:ascii="Calibri" w:hAnsi="Calibri"/>
                <w:sz w:val="22"/>
              </w:rPr>
              <w:t>—</w:t>
            </w:r>
          </w:p>
        </w:tc>
        <w:tc>
          <w:tcPr>
            <w:tcW w:type="dxa" w:w="1728"/>
          </w:tcPr>
          <w:p>
            <w:r>
              <w:rPr>
                <w:rFonts w:ascii="Calibri" w:hAnsi="Calibri"/>
                <w:sz w:val="22"/>
              </w:rPr>
              <w:t>~1.7%</w:t>
            </w:r>
          </w:p>
        </w:tc>
        <w:tc>
          <w:tcPr>
            <w:tcW w:type="dxa" w:w="1728"/>
          </w:tcPr>
          <w:p>
            <w:r>
              <w:rPr>
                <w:rFonts w:ascii="Calibri" w:hAnsi="Calibri"/>
                <w:sz w:val="22"/>
              </w:rPr>
              <w:t>Unchanged; consensus sits at low end of guidance range, reflecting North America uncertainty</w:t>
            </w:r>
          </w:p>
        </w:tc>
      </w:tr>
      <w:tr>
        <w:tc>
          <w:tcPr>
            <w:tcW w:type="dxa" w:w="1728"/>
          </w:tcPr>
          <w:p>
            <w:r>
              <w:rPr>
                <w:rFonts w:ascii="Calibri" w:hAnsi="Calibri"/>
                <w:sz w:val="22"/>
              </w:rPr>
              <w:t>FY 2026 Adj. EPS (Diluted-Operating)</w:t>
            </w:r>
          </w:p>
        </w:tc>
        <w:tc>
          <w:tcPr>
            <w:tcW w:type="dxa" w:w="1728"/>
          </w:tcPr>
          <w:p>
            <w:r>
              <w:rPr>
                <w:rFonts w:ascii="Calibri" w:hAnsi="Calibri"/>
                <w:sz w:val="22"/>
              </w:rPr>
              <w:t>~$3.04–$3.05 (reaffirmed; flat to modest growth on CC)</w:t>
            </w:r>
          </w:p>
        </w:tc>
        <w:tc>
          <w:tcPr>
            <w:tcW w:type="dxa" w:w="1728"/>
          </w:tcPr>
          <w:p>
            <w:r>
              <w:rPr>
                <w:rFonts w:ascii="Calibri" w:hAnsi="Calibri"/>
                <w:sz w:val="22"/>
              </w:rPr>
              <w:t>—</w:t>
            </w:r>
          </w:p>
        </w:tc>
        <w:tc>
          <w:tcPr>
            <w:tcW w:type="dxa" w:w="1728"/>
          </w:tcPr>
          <w:p>
            <w:r>
              <w:rPr>
                <w:rFonts w:ascii="Calibri" w:hAnsi="Calibri"/>
                <w:sz w:val="22"/>
              </w:rPr>
              <w:t>$3.05</w:t>
            </w:r>
          </w:p>
        </w:tc>
        <w:tc>
          <w:tcPr>
            <w:tcW w:type="dxa" w:w="1728"/>
          </w:tcPr>
          <w:p>
            <w:r>
              <w:rPr>
                <w:rFonts w:ascii="Calibri" w:hAnsi="Calibri"/>
                <w:sz w:val="22"/>
              </w:rPr>
              <w:t>Unchanged; management explicitly stated EPS upside would be reinvested, not flowed through</w:t>
            </w:r>
          </w:p>
        </w:tc>
      </w:tr>
      <w:tr>
        <w:tc>
          <w:tcPr>
            <w:tcW w:type="dxa" w:w="1728"/>
          </w:tcPr>
          <w:p>
            <w:r>
              <w:rPr>
                <w:rFonts w:ascii="Calibri" w:hAnsi="Calibri"/>
                <w:sz w:val="22"/>
              </w:rPr>
              <w:t>FY 2026 Free Cash Flow</w:t>
            </w:r>
          </w:p>
        </w:tc>
        <w:tc>
          <w:tcPr>
            <w:tcW w:type="dxa" w:w="1728"/>
          </w:tcPr>
          <w:p>
            <w:r>
              <w:rPr>
                <w:rFonts w:ascii="Calibri" w:hAnsi="Calibri"/>
                <w:sz w:val="22"/>
              </w:rPr>
              <w:t>~$3.2B (reaffirmed)</w:t>
            </w:r>
          </w:p>
        </w:tc>
        <w:tc>
          <w:tcPr>
            <w:tcW w:type="dxa" w:w="1728"/>
          </w:tcPr>
          <w:p>
            <w:r>
              <w:rPr>
                <w:rFonts w:ascii="Calibri" w:hAnsi="Calibri"/>
                <w:sz w:val="22"/>
              </w:rPr>
              <w:t>—</w:t>
            </w:r>
          </w:p>
        </w:tc>
        <w:tc>
          <w:tcPr>
            <w:tcW w:type="dxa" w:w="1728"/>
          </w:tcPr>
          <w:p>
            <w:r>
              <w:rPr>
                <w:rFonts w:ascii="Calibri" w:hAnsi="Calibri"/>
                <w:sz w:val="22"/>
              </w:rPr>
              <w:t>$3.24B</w:t>
            </w:r>
          </w:p>
        </w:tc>
        <w:tc>
          <w:tcPr>
            <w:tcW w:type="dxa" w:w="1728"/>
          </w:tcPr>
          <w:p>
            <w:r>
              <w:rPr>
                <w:rFonts w:ascii="Calibri" w:hAnsi="Calibri"/>
                <w:sz w:val="22"/>
              </w:rPr>
              <w:t>Unchanged; consensus in line with guidance</w:t>
            </w:r>
          </w:p>
        </w:tc>
      </w:tr>
      <w:tr>
        <w:tc>
          <w:tcPr>
            <w:tcW w:type="dxa" w:w="1728"/>
          </w:tcPr>
          <w:p>
            <w:r>
              <w:rPr>
                <w:rFonts w:ascii="Calibri" w:hAnsi="Calibri"/>
                <w:sz w:val="22"/>
              </w:rPr>
              <w:t>Volume/Mix Trajectory</w:t>
            </w:r>
          </w:p>
        </w:tc>
        <w:tc>
          <w:tcPr>
            <w:tcW w:type="dxa" w:w="1728"/>
          </w:tcPr>
          <w:p>
            <w:r>
              <w:rPr>
                <w:rFonts w:ascii="Calibri" w:hAnsi="Calibri"/>
                <w:sz w:val="22"/>
              </w:rPr>
              <w:t>Sequential improvement through 2026; NA volume/revenue inflection in H2</w:t>
            </w:r>
          </w:p>
        </w:tc>
        <w:tc>
          <w:tcPr>
            <w:tcW w:type="dxa" w:w="1728"/>
          </w:tcPr>
          <w:p>
            <w:r>
              <w:rPr>
                <w:rFonts w:ascii="Calibri" w:hAnsi="Calibri"/>
                <w:sz w:val="22"/>
              </w:rPr>
              <w:t>—</w:t>
            </w:r>
          </w:p>
        </w:tc>
        <w:tc>
          <w:tcPr>
            <w:tcW w:type="dxa" w:w="1728"/>
          </w:tcPr>
          <w:p>
            <w:r>
              <w:rPr>
                <w:rFonts w:ascii="Calibri" w:hAnsi="Calibri"/>
                <w:sz w:val="22"/>
              </w:rPr>
              <w:t>FY vol/mix ~0.05%</w:t>
            </w:r>
          </w:p>
        </w:tc>
        <w:tc>
          <w:tcPr>
            <w:tcW w:type="dxa" w:w="1728"/>
          </w:tcPr>
          <w:p>
            <w:r>
              <w:rPr>
                <w:rFonts w:ascii="Calibri" w:hAnsi="Calibri"/>
                <w:sz w:val="22"/>
              </w:rPr>
              <w:t>Management guided for positive inflection in NA in H2; consensus reflects cautious recovery</w:t>
            </w:r>
          </w:p>
        </w:tc>
      </w:tr>
      <w:tr>
        <w:tc>
          <w:tcPr>
            <w:tcW w:type="dxa" w:w="1728"/>
          </w:tcPr>
          <w:p>
            <w:r>
              <w:rPr>
                <w:rFonts w:ascii="Calibri" w:hAnsi="Calibri"/>
                <w:sz w:val="22"/>
              </w:rPr>
              <w:t>Gross Margin</w:t>
            </w:r>
          </w:p>
        </w:tc>
        <w:tc>
          <w:tcPr>
            <w:tcW w:type="dxa" w:w="1728"/>
          </w:tcPr>
          <w:p>
            <w:r>
              <w:rPr>
                <w:rFonts w:ascii="Calibri" w:hAnsi="Calibri"/>
                <w:sz w:val="22"/>
              </w:rPr>
              <w:t>Headwind in H1 (cocoa inventory phasing); recovery in H2 as costs normalize</w:t>
            </w:r>
          </w:p>
        </w:tc>
        <w:tc>
          <w:tcPr>
            <w:tcW w:type="dxa" w:w="1728"/>
          </w:tcPr>
          <w:p>
            <w:r>
              <w:rPr>
                <w:rFonts w:ascii="Calibri" w:hAnsi="Calibri"/>
                <w:sz w:val="22"/>
              </w:rPr>
              <w:t>—</w:t>
            </w:r>
          </w:p>
        </w:tc>
        <w:tc>
          <w:tcPr>
            <w:tcW w:type="dxa" w:w="1728"/>
          </w:tcPr>
          <w:p>
            <w:r>
              <w:rPr>
                <w:rFonts w:ascii="Calibri" w:hAnsi="Calibri"/>
                <w:sz w:val="22"/>
              </w:rPr>
              <w:t>Q2 gross profit ~$3.02B</w:t>
            </w:r>
          </w:p>
        </w:tc>
        <w:tc>
          <w:tcPr>
            <w:tcW w:type="dxa" w:w="1728"/>
          </w:tcPr>
          <w:p>
            <w:r>
              <w:rPr>
                <w:rFonts w:ascii="Calibri" w:hAnsi="Calibri"/>
                <w:sz w:val="22"/>
              </w:rPr>
              <w:t>Middle East conflict adds incremental cost headwind in unhedged markets in H2</w:t>
            </w:r>
          </w:p>
        </w:tc>
      </w:tr>
      <w:tr>
        <w:tc>
          <w:tcPr>
            <w:tcW w:type="dxa" w:w="1728"/>
          </w:tcPr>
          <w:p>
            <w:r>
              <w:rPr>
                <w:rFonts w:ascii="Calibri" w:hAnsi="Calibri"/>
                <w:sz w:val="22"/>
              </w:rPr>
              <w:t>Emerging Markets Organic Growth</w:t>
            </w:r>
          </w:p>
        </w:tc>
        <w:tc>
          <w:tcPr>
            <w:tcW w:type="dxa" w:w="1728"/>
          </w:tcPr>
          <w:p>
            <w:r>
              <w:rPr>
                <w:rFonts w:ascii="Calibri" w:hAnsi="Calibri"/>
                <w:sz w:val="22"/>
              </w:rPr>
              <w:t>Mid-to-high single digit; volume-led growth engine</w:t>
            </w:r>
          </w:p>
        </w:tc>
        <w:tc>
          <w:tcPr>
            <w:tcW w:type="dxa" w:w="1728"/>
          </w:tcPr>
          <w:p>
            <w:r>
              <w:rPr>
                <w:rFonts w:ascii="Calibri" w:hAnsi="Calibri"/>
                <w:sz w:val="22"/>
              </w:rPr>
              <w:t>—</w:t>
            </w:r>
          </w:p>
        </w:tc>
        <w:tc>
          <w:tcPr>
            <w:tcW w:type="dxa" w:w="1728"/>
          </w:tcPr>
          <w:p>
            <w:r>
              <w:rPr>
                <w:rFonts w:ascii="Calibri" w:hAnsi="Calibri"/>
                <w:sz w:val="22"/>
              </w:rPr>
              <w:t>Implied ~5–6% for FY</w:t>
            </w:r>
          </w:p>
        </w:tc>
        <w:tc>
          <w:tcPr>
            <w:tcW w:type="dxa" w:w="1728"/>
          </w:tcPr>
          <w:p>
            <w:r>
              <w:rPr>
                <w:rFonts w:ascii="Calibri" w:hAnsi="Calibri"/>
                <w:sz w:val="22"/>
              </w:rPr>
              <w:t>Q1 EM grew 6.3%; management remains very confident in EM as sustainable growth engine</w:t>
            </w:r>
          </w:p>
        </w:tc>
      </w:tr>
      <w:tr>
        <w:tc>
          <w:tcPr>
            <w:tcW w:type="dxa" w:w="1728"/>
          </w:tcPr>
          <w:p>
            <w:r>
              <w:rPr>
                <w:rFonts w:ascii="Calibri" w:hAnsi="Calibri"/>
                <w:sz w:val="22"/>
              </w:rPr>
              <w:t>FY 2027 EPS Growth</w:t>
            </w:r>
          </w:p>
        </w:tc>
        <w:tc>
          <w:tcPr>
            <w:tcW w:type="dxa" w:w="1728"/>
          </w:tcPr>
          <w:p>
            <w:r>
              <w:rPr>
                <w:rFonts w:ascii="Calibri" w:hAnsi="Calibri"/>
                <w:sz w:val="22"/>
              </w:rPr>
              <w:t>Strong growth; cocoa deflationary; margin expansion</w:t>
            </w:r>
          </w:p>
        </w:tc>
        <w:tc>
          <w:tcPr>
            <w:tcW w:type="dxa" w:w="1728"/>
          </w:tcPr>
          <w:p>
            <w:r>
              <w:rPr>
                <w:rFonts w:ascii="Calibri" w:hAnsi="Calibri"/>
                <w:sz w:val="22"/>
              </w:rPr>
              <w:t>—</w:t>
            </w:r>
          </w:p>
        </w:tc>
        <w:tc>
          <w:tcPr>
            <w:tcW w:type="dxa" w:w="1728"/>
          </w:tcPr>
          <w:p>
            <w:r>
              <w:rPr>
                <w:rFonts w:ascii="Calibri" w:hAnsi="Calibri"/>
                <w:sz w:val="22"/>
              </w:rPr>
              <w:t>N/A (FY27 not in scope)</w:t>
            </w:r>
          </w:p>
        </w:tc>
        <w:tc>
          <w:tcPr>
            <w:tcW w:type="dxa" w:w="1728"/>
          </w:tcPr>
          <w:p>
            <w:r>
              <w:rPr>
                <w:rFonts w:ascii="Calibri" w:hAnsi="Calibri"/>
                <w:sz w:val="22"/>
              </w:rPr>
              <w:t>Management's primary forward signal; any 2026 upside reinvested to build 2027 momentum</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been essentially flat since the Q1 print — organic growth consensus moved only marginally from ~0.96% to ~0.75%, and adj. EPS barely budged ($0.678 to $0.679). </w:t>
      </w:r>
      <w:r>
        <w:rPr>
          <w:rFonts w:ascii="Calibri" w:hAnsi="Calibri"/>
          <w:b/>
          <w:color w:val="525866"/>
          <w:sz w:val="22"/>
        </w:rPr>
        <w:t>The lack of downward revision despite Middle East headwinds is mildly encouraging</w:t>
      </w:r>
      <w:r>
        <w:rPr>
          <w:rFonts w:ascii="Calibri" w:hAnsi="Calibri"/>
          <w:color w:val="525866"/>
          <w:sz w:val="22"/>
        </w:rPr>
        <w:t>, suggesting the Street has already baked in a soft quarter and is not positioned for further cuts.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Organic Growth % (Q2 2026)</w:t>
            </w:r>
          </w:p>
        </w:tc>
        <w:tc>
          <w:tcPr>
            <w:tcW w:type="dxa" w:w="1080"/>
          </w:tcPr>
          <w:p>
            <w:r>
              <w:rPr>
                <w:rFonts w:ascii="Calibri" w:hAnsi="Calibri"/>
                <w:sz w:val="22"/>
              </w:rPr>
              <w:t>0.96%</w:t>
            </w:r>
          </w:p>
        </w:tc>
        <w:tc>
          <w:tcPr>
            <w:tcW w:type="dxa" w:w="1080"/>
          </w:tcPr>
          <w:p>
            <w:r>
              <w:rPr>
                <w:rFonts w:ascii="Calibri" w:hAnsi="Calibri"/>
                <w:sz w:val="22"/>
              </w:rPr>
              <w:t>0.75%</w:t>
            </w:r>
          </w:p>
        </w:tc>
        <w:tc>
          <w:tcPr>
            <w:tcW w:type="dxa" w:w="1080"/>
          </w:tcPr>
          <w:p>
            <w:r>
              <w:rPr>
                <w:rFonts w:ascii="Calibri" w:hAnsi="Calibri"/>
                <w:sz w:val="22"/>
              </w:rPr>
              <w:t>-22 bps</w:t>
            </w:r>
          </w:p>
        </w:tc>
        <w:tc>
          <w:tcPr>
            <w:tcW w:type="dxa" w:w="1080"/>
          </w:tcPr>
          <w:p>
            <w:r>
              <w:rPr>
                <w:rFonts w:ascii="Calibri" w:hAnsi="Calibri"/>
                <w:sz w:val="22"/>
              </w:rPr>
              <w:t>Low single-digit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midpoint</w:t>
            </w:r>
          </w:p>
        </w:tc>
      </w:tr>
      <w:tr>
        <w:tc>
          <w:tcPr>
            <w:tcW w:type="dxa" w:w="1080"/>
          </w:tcPr>
          <w:p>
            <w:r>
              <w:rPr>
                <w:rFonts w:ascii="Calibri" w:hAnsi="Calibri"/>
                <w:sz w:val="22"/>
              </w:rPr>
              <w:t>Organic Growth % (FY 2026)</w:t>
            </w:r>
          </w:p>
        </w:tc>
        <w:tc>
          <w:tcPr>
            <w:tcW w:type="dxa" w:w="1080"/>
          </w:tcPr>
          <w:p>
            <w:r>
              <w:rPr>
                <w:rFonts w:ascii="Calibri" w:hAnsi="Calibri"/>
                <w:sz w:val="22"/>
              </w:rPr>
              <w:t>1.84%</w:t>
            </w:r>
          </w:p>
        </w:tc>
        <w:tc>
          <w:tcPr>
            <w:tcW w:type="dxa" w:w="1080"/>
          </w:tcPr>
          <w:p>
            <w:r>
              <w:rPr>
                <w:rFonts w:ascii="Calibri" w:hAnsi="Calibri"/>
                <w:sz w:val="22"/>
              </w:rPr>
              <w:t>1.74%</w:t>
            </w:r>
          </w:p>
        </w:tc>
        <w:tc>
          <w:tcPr>
            <w:tcW w:type="dxa" w:w="1080"/>
          </w:tcPr>
          <w:p>
            <w:r>
              <w:rPr>
                <w:rFonts w:ascii="Calibri" w:hAnsi="Calibri"/>
                <w:sz w:val="22"/>
              </w:rPr>
              <w:t>-10 bps</w:t>
            </w:r>
          </w:p>
        </w:tc>
        <w:tc>
          <w:tcPr>
            <w:tcW w:type="dxa" w:w="1080"/>
          </w:tcPr>
          <w:p>
            <w:r>
              <w:rPr>
                <w:rFonts w:ascii="Calibri" w:hAnsi="Calibri"/>
                <w:sz w:val="22"/>
              </w:rPr>
              <w:t>Low single-digit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r>
        <w:tc>
          <w:tcPr>
            <w:tcW w:type="dxa" w:w="1080"/>
          </w:tcPr>
          <w:p>
            <w:r>
              <w:rPr>
                <w:rFonts w:ascii="Calibri" w:hAnsi="Calibri"/>
                <w:sz w:val="22"/>
              </w:rPr>
              <w:t>Adj. EPS (Q2 2026)</w:t>
            </w:r>
          </w:p>
        </w:tc>
        <w:tc>
          <w:tcPr>
            <w:tcW w:type="dxa" w:w="1080"/>
          </w:tcPr>
          <w:p>
            <w:r>
              <w:rPr>
                <w:rFonts w:ascii="Calibri" w:hAnsi="Calibri"/>
                <w:sz w:val="22"/>
              </w:rPr>
              <w:t>$0.678</w:t>
            </w:r>
          </w:p>
        </w:tc>
        <w:tc>
          <w:tcPr>
            <w:tcW w:type="dxa" w:w="1080"/>
          </w:tcPr>
          <w:p>
            <w:r>
              <w:rPr>
                <w:rFonts w:ascii="Calibri" w:hAnsi="Calibri"/>
                <w:sz w:val="22"/>
              </w:rPr>
              <w:t>$0.679</w:t>
            </w:r>
          </w:p>
        </w:tc>
        <w:tc>
          <w:tcPr>
            <w:tcW w:type="dxa" w:w="1080"/>
          </w:tcPr>
          <w:p>
            <w:r>
              <w:rPr>
                <w:rFonts w:ascii="Calibri" w:hAnsi="Calibri"/>
                <w:sz w:val="22"/>
              </w:rPr>
              <w:t>+0.1%</w:t>
            </w:r>
          </w:p>
        </w:tc>
        <w:tc>
          <w:tcPr>
            <w:tcW w:type="dxa" w:w="1080"/>
          </w:tcPr>
          <w:p>
            <w:r>
              <w:rPr>
                <w:rFonts w:ascii="Calibri" w:hAnsi="Calibri"/>
                <w:sz w:val="22"/>
              </w:rPr>
              <w:t>Flat to modest growth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(FY 2026)</w:t>
            </w:r>
          </w:p>
        </w:tc>
        <w:tc>
          <w:tcPr>
            <w:tcW w:type="dxa" w:w="1080"/>
          </w:tcPr>
          <w:p>
            <w:r>
              <w:rPr>
                <w:rFonts w:ascii="Calibri" w:hAnsi="Calibri"/>
                <w:sz w:val="22"/>
              </w:rPr>
              <w:t>$3.054</w:t>
            </w:r>
          </w:p>
        </w:tc>
        <w:tc>
          <w:tcPr>
            <w:tcW w:type="dxa" w:w="1080"/>
          </w:tcPr>
          <w:p>
            <w:r>
              <w:rPr>
                <w:rFonts w:ascii="Calibri" w:hAnsi="Calibri"/>
                <w:sz w:val="22"/>
              </w:rPr>
              <w:t>$3.045</w:t>
            </w:r>
          </w:p>
        </w:tc>
        <w:tc>
          <w:tcPr>
            <w:tcW w:type="dxa" w:w="1080"/>
          </w:tcPr>
          <w:p>
            <w:r>
              <w:rPr>
                <w:rFonts w:ascii="Calibri" w:hAnsi="Calibri"/>
                <w:sz w:val="22"/>
              </w:rPr>
              <w:t>-0.3%</w:t>
            </w:r>
          </w:p>
        </w:tc>
        <w:tc>
          <w:tcPr>
            <w:tcW w:type="dxa" w:w="1080"/>
          </w:tcPr>
          <w:p>
            <w:r>
              <w:rPr>
                <w:rFonts w:ascii="Calibri" w:hAnsi="Calibri"/>
                <w:sz w:val="22"/>
              </w:rPr>
              <w:t>~$3.04–$3.05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Net Revenue (Q2 2026)</w:t>
            </w:r>
          </w:p>
        </w:tc>
        <w:tc>
          <w:tcPr>
            <w:tcW w:type="dxa" w:w="1080"/>
          </w:tcPr>
          <w:p>
            <w:r>
              <w:rPr>
                <w:rFonts w:ascii="Calibri" w:hAnsi="Calibri"/>
                <w:sz w:val="22"/>
              </w:rPr>
              <w:t>$9.25B</w:t>
            </w:r>
          </w:p>
        </w:tc>
        <w:tc>
          <w:tcPr>
            <w:tcW w:type="dxa" w:w="1080"/>
          </w:tcPr>
          <w:p>
            <w:r>
              <w:rPr>
                <w:rFonts w:ascii="Calibri" w:hAnsi="Calibri"/>
                <w:sz w:val="22"/>
              </w:rPr>
              <w:t>$9.23B</w:t>
            </w:r>
          </w:p>
        </w:tc>
        <w:tc>
          <w:tcPr>
            <w:tcW w:type="dxa" w:w="1080"/>
          </w:tcPr>
          <w:p>
            <w:r>
              <w:rPr>
                <w:rFonts w:ascii="Calibri" w:hAnsi="Calibri"/>
                <w:sz w:val="22"/>
              </w:rPr>
              <w:t>-0.2%</w:t>
            </w:r>
          </w:p>
        </w:tc>
        <w:tc>
          <w:tcPr>
            <w:tcW w:type="dxa" w:w="1080"/>
          </w:tcPr>
          <w:p>
            <w:r>
              <w:rPr>
                <w:rFonts w:ascii="Calibri" w:hAnsi="Calibri"/>
                <w:sz w:val="22"/>
              </w:rPr>
              <w:t>~$39.9–40.1B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Revenue (FY 2026)</w:t>
            </w:r>
          </w:p>
        </w:tc>
        <w:tc>
          <w:tcPr>
            <w:tcW w:type="dxa" w:w="1080"/>
          </w:tcPr>
          <w:p>
            <w:r>
              <w:rPr>
                <w:rFonts w:ascii="Calibri" w:hAnsi="Calibri"/>
                <w:sz w:val="22"/>
              </w:rPr>
              <w:t>$40.07B</w:t>
            </w:r>
          </w:p>
        </w:tc>
        <w:tc>
          <w:tcPr>
            <w:tcW w:type="dxa" w:w="1080"/>
          </w:tcPr>
          <w:p>
            <w:r>
              <w:rPr>
                <w:rFonts w:ascii="Calibri" w:hAnsi="Calibri"/>
                <w:sz w:val="22"/>
              </w:rPr>
              <w:t>$39.99B</w:t>
            </w:r>
          </w:p>
        </w:tc>
        <w:tc>
          <w:tcPr>
            <w:tcW w:type="dxa" w:w="1080"/>
          </w:tcPr>
          <w:p>
            <w:r>
              <w:rPr>
                <w:rFonts w:ascii="Calibri" w:hAnsi="Calibri"/>
                <w:sz w:val="22"/>
              </w:rPr>
              <w:t>-0.2%</w:t>
            </w:r>
          </w:p>
        </w:tc>
        <w:tc>
          <w:tcPr>
            <w:tcW w:type="dxa" w:w="1080"/>
          </w:tcPr>
          <w:p>
            <w:r>
              <w:rPr>
                <w:rFonts w:ascii="Calibri" w:hAnsi="Calibri"/>
                <w:sz w:val="22"/>
              </w:rPr>
              <w:t>~$39.9–40.1B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bl>
    <w:p>
      <w:r>
        <w:rPr>
          <w:rFonts w:ascii="Calibri" w:hAnsi="Calibri"/>
          <w:color w:val="525866"/>
          <w:sz w:val="22"/>
        </w:rPr>
        <w:t>Estimates have been remarkably stable since the Q1 print, with organic growth and EPS revisions essentially flat. This stability is notable given the Middle East conflict headwinds flagged on the Q1 call — it suggests the Street has already priced in a soft Q2 and is not expecting further guidance cuts. The gap between consensus organic growth (~0.75% for Q2, ~1.74% for FY) and management's "low single-digit" guidance range implies the Street is positioned at the low end, creating asymmetric upside if emerging markets sustain Q1 momentum.</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MDLZ has modestly outperformed XLP (+3.6% vs. +2.7%) since the Q1 earnings date, but the move has been driven by </w:t>
      </w:r>
      <w:r>
        <w:rPr>
          <w:rFonts w:ascii="Calibri" w:hAnsi="Calibri"/>
          <w:b/>
          <w:color w:val="525866"/>
          <w:sz w:val="22"/>
        </w:rPr>
        <w:t>multiple stabilization rather than estimate revisions</w:t>
      </w:r>
      <w:r>
        <w:rPr>
          <w:rFonts w:ascii="Calibri" w:hAnsi="Calibri"/>
          <w:color w:val="525866"/>
          <w:sz w:val="22"/>
        </w:rPr>
        <w:t xml:space="preserve"> — with EPS consensus barely moving, the stock's recovery from the post-earnings dip reflects sentiment improvement and sector rotation into defensive names, not a fundamental re-rating.</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MDLZ vs. XLP (Consumer Staples ETF) — Indexed to 100 at Q1 2026 Earnings Date (April 28, 2026). Source: Stock Price Data.</w:t>
      </w:r>
    </w:p>
    <w:p>
      <w:r>
        <w:rPr>
          <w:rFonts w:ascii="Calibri" w:hAnsi="Calibri"/>
          <w:color w:val="525866"/>
          <w:sz w:val="22"/>
        </w:rPr>
        <w:t>Performance Summary (Apr 28 – Jul 24, 2026):</w:t>
      </w:r>
    </w:p>
    <w:p>
      <w:pPr>
        <w:pStyle w:val="ListBullet"/>
        <w:ind w:left="360" w:hanging="360"/>
      </w:pPr>
      <w:r>
        <w:rPr>
          <w:rFonts w:ascii="Calibri" w:hAnsi="Calibri"/>
          <w:b/>
          <w:color w:val="525866"/>
          <w:sz w:val="22"/>
        </w:rPr>
        <w:t xml:space="preserve">MDLZ: </w:t>
      </w:r>
      <w:r>
        <w:rPr>
          <w:rFonts w:ascii="Calibri" w:hAnsi="Calibri"/>
          <w:color w:val="525866"/>
          <w:sz w:val="22"/>
        </w:rPr>
        <w:t>+$2.13 / +3.6% (from $58.54 to $60.67)</w:t>
      </w:r>
    </w:p>
    <w:p>
      <w:pPr>
        <w:pStyle w:val="ListBullet"/>
        <w:ind w:left="360" w:hanging="360"/>
      </w:pPr>
      <w:r>
        <w:rPr>
          <w:rFonts w:ascii="Calibri" w:hAnsi="Calibri"/>
          <w:b/>
          <w:color w:val="525866"/>
          <w:sz w:val="22"/>
        </w:rPr>
        <w:t xml:space="preserve">XLP (Consumer Staples ETF): </w:t>
      </w:r>
      <w:r>
        <w:rPr>
          <w:rFonts w:ascii="Calibri" w:hAnsi="Calibri"/>
          <w:color w:val="525866"/>
          <w:sz w:val="22"/>
        </w:rPr>
        <w:t>+2.7% over the same period</w:t>
      </w:r>
    </w:p>
    <w:p>
      <w:pPr>
        <w:pStyle w:val="ListBullet"/>
        <w:ind w:left="360" w:hanging="360"/>
      </w:pPr>
      <w:r>
        <w:rPr>
          <w:rFonts w:ascii="Calibri" w:hAnsi="Calibri"/>
          <w:b/>
          <w:color w:val="525866"/>
          <w:sz w:val="22"/>
        </w:rPr>
        <w:t xml:space="preserve">Peak: </w:t>
      </w:r>
      <w:r>
        <w:rPr>
          <w:rFonts w:ascii="Calibri" w:hAnsi="Calibri"/>
          <w:color w:val="525866"/>
          <w:sz w:val="22"/>
        </w:rPr>
        <w:t>MDLZ reached ~$64.18 on June 10, 2026 before pulling back</w:t>
      </w:r>
    </w:p>
    <w:p>
      <w:pPr>
        <w:pStyle w:val="ListBullet"/>
        <w:ind w:left="360" w:hanging="360"/>
      </w:pPr>
      <w:r>
        <w:rPr>
          <w:rFonts w:ascii="Calibri" w:hAnsi="Calibri"/>
          <w:b/>
          <w:color w:val="525866"/>
          <w:sz w:val="22"/>
        </w:rPr>
        <w:t xml:space="preserve">Trough: </w:t>
      </w:r>
      <w:r>
        <w:rPr>
          <w:rFonts w:ascii="Calibri" w:hAnsi="Calibri"/>
          <w:color w:val="525866"/>
          <w:sz w:val="22"/>
        </w:rPr>
        <w:t>Stock dipped to ~$57.84 on June 30, 2026 (quarter-end selloff / rebalancing)</w:t>
      </w:r>
    </w:p>
    <w:p>
      <w:pPr>
        <w:pStyle w:val="ListBullet"/>
        <w:ind w:left="360" w:hanging="360"/>
      </w:pPr>
      <w:r>
        <w:rPr>
          <w:rFonts w:ascii="Calibri" w:hAnsi="Calibri"/>
          <w:b/>
          <w:color w:val="525866"/>
          <w:sz w:val="22"/>
        </w:rPr>
        <w:t xml:space="preserve">Recovery: </w:t>
      </w:r>
      <w:r>
        <w:rPr>
          <w:rFonts w:ascii="Calibri" w:hAnsi="Calibri"/>
          <w:color w:val="525866"/>
          <w:sz w:val="22"/>
        </w:rPr>
        <w:t>Bounced back to ~$61.42 on July 16 before settling around $60–$61 heading into Q2 earnings</w:t>
      </w:r>
    </w:p>
    <w:p>
      <w:r>
        <w:rPr>
          <w:rFonts w:ascii="Calibri" w:hAnsi="Calibri"/>
          <w:b/>
          <w:color w:val="525866"/>
          <w:sz w:val="22"/>
        </w:rPr>
        <w:t xml:space="preserve">Key Observations: </w:t>
      </w:r>
      <w:r>
        <w:rPr>
          <w:rFonts w:ascii="Calibri" w:hAnsi="Calibri"/>
          <w:color w:val="525866"/>
          <w:sz w:val="22"/>
        </w:rPr>
        <w:t>The stock's inability to hold the June 10 peak (~$64) despite no negative news suggests the market is waiting for Q2 confirmation before re-rating. The June 30 selloff (to $57.84) appears technical/rebalancing-driven rather than fundamental. Analyst consensus remains "Moderate Buy" with an average price target of ~$67–$68, implying ~11–12% upside from current levels. The stock trades at a discount to historical averages, with the market focused on 2026 execution rather than the 2027 recovery thesis.</w:t>
      </w:r>
    </w:p>
    <w:p>
      <w:r>
        <w:rPr>
          <w:rFonts w:ascii="Calibri" w:hAnsi="Calibri"/>
          <w:i/>
          <w:color w:val="525866"/>
          <w:sz w:val="22"/>
        </w:rPr>
        <w:t>Source: Stock Price Data (Yahoo Finance)</w:t>
      </w:r>
    </w:p>
    <w:p>
      <w:r>
        <w:br w:type="page"/>
      </w:r>
    </w:p>
    <w:p>
      <w:pPr>
        <w:pStyle w:val="Heading1"/>
        <w:pBdr>
          <w:bottom w:val="single" w:sz="4" w:space="1" w:color="FB9120"/>
        </w:pBdr>
      </w:pPr>
      <w:r>
        <w:rPr>
          <w:rFonts w:ascii="Calibri" w:hAnsi="Calibri"/>
          <w:b/>
          <w:color w:val="3B4259"/>
          <w:sz w:val="40"/>
        </w:rPr>
        <w:t>6. Peer Commentaries — Read-Through for MDLZ Q2 2026</w:t>
      </w:r>
    </w:p>
    <w:p>
      <w:r>
        <w:rPr>
          <w:rFonts w:ascii="Calibri" w:hAnsi="Calibri"/>
          <w:b/>
          <w:color w:val="525866"/>
          <w:sz w:val="22"/>
        </w:rPr>
        <w:t xml:space="preserve">Key Takeaway: </w:t>
      </w:r>
      <w:r>
        <w:rPr>
          <w:rFonts w:ascii="Calibri" w:hAnsi="Calibri"/>
          <w:color w:val="525866"/>
          <w:sz w:val="22"/>
        </w:rPr>
        <w:t xml:space="preserve">Peer commentary from Q2 2026 reporting season is broadly constructive for MDLZ — Nestlé's H1 2026 results confirm that snacking categories are holding up in emerging markets and that cocoa/coffee cost tailwinds are building for H2, while General Mills and Campbell's flag a still-stressed North American consumer that validates MDLZ's cautious NA tone. The most important read-through is </w:t>
      </w:r>
      <w:r>
        <w:rPr>
          <w:rFonts w:ascii="Calibri" w:hAnsi="Calibri"/>
          <w:b/>
          <w:color w:val="525866"/>
          <w:sz w:val="22"/>
        </w:rPr>
        <w:t>Nestlé's confirmation that lower cocoa costs are flowing through the P&amp;L in H2 2026</w:t>
      </w:r>
      <w:r>
        <w:rPr>
          <w:rFonts w:ascii="Calibri" w:hAnsi="Calibri"/>
          <w:color w:val="525866"/>
          <w:sz w:val="22"/>
        </w:rPr>
        <w:t>, which is a direct positive signal for MDLZ's gross margin trajectory.</w:t>
      </w:r>
    </w:p>
    <w:p>
      <w:r>
        <w:rPr>
          <w:rFonts w:ascii="Calibri" w:hAnsi="Calibri"/>
          <w:i/>
          <w:color w:val="525866"/>
          <w:sz w:val="22"/>
        </w:rPr>
        <w:t>Note: Only forward-looking commentary and commentary about the current reporting period (Q2 2026 / H1 2026 / FY2027 outlook) is included below. Backward-looking Q1 results commentary from peers has been excluded.</w:t>
      </w:r>
    </w:p>
    <w:p>
      <w:pPr>
        <w:pStyle w:val="Heading2"/>
      </w:pPr>
      <w:r>
        <w:rPr>
          <w:rFonts w:ascii="Calibri" w:hAnsi="Calibri"/>
          <w:b/>
          <w:color w:val="3B4259"/>
          <w:sz w:val="28"/>
        </w:rPr>
        <w:t>Nestlé (NESN SW) — H1 2026 Earnings Call (July 23, 2026)</w:t>
      </w:r>
    </w:p>
    <w:p>
      <w:r>
        <w:rPr>
          <w:rFonts w:ascii="Calibri" w:hAnsi="Calibri"/>
          <w:b/>
          <w:color w:val="525866"/>
          <w:sz w:val="22"/>
        </w:rPr>
        <w:t xml:space="preserve">Most Relevant Peer: </w:t>
      </w:r>
      <w:r>
        <w:rPr>
          <w:rFonts w:ascii="Calibri" w:hAnsi="Calibri"/>
          <w:color w:val="525866"/>
          <w:sz w:val="22"/>
        </w:rPr>
        <w:t>Nestlé is the closest global snacking/confectionery peer to MDLZ, with overlapping categories (chocolate, biscuits, snacks) and similar geographic exposure (Europe, emerging markets, North America).</w:t>
      </w:r>
    </w:p>
    <w:p>
      <w:pPr>
        <w:pStyle w:val="ListBullet"/>
        <w:ind w:left="360" w:hanging="360"/>
      </w:pPr>
      <w:r>
        <w:rPr>
          <w:rFonts w:ascii="Calibri" w:hAnsi="Calibri"/>
          <w:b/>
          <w:color w:val="525866"/>
          <w:sz w:val="22"/>
        </w:rPr>
        <w:t xml:space="preserve">Cocoa &amp; Coffee Cost Tailwind in H2 2026 — DIRECT POSITIVE READ-THROUGH: </w:t>
      </w:r>
      <w:r>
        <w:rPr>
          <w:rFonts w:ascii="Calibri" w:hAnsi="Calibri"/>
          <w:color w:val="525866"/>
          <w:sz w:val="22"/>
        </w:rPr>
        <w:t>Nestlé explicitly stated it expects "H2 top margin to benefit from lower coffee and cocoa costs impacting the P&amp;L and further cost savings." This is a direct read-through for MDLZ's gross margin trajectory in Q2/H2 2026, as both companies face similar cocoa cost phasing dynamics. Nestlé noted it is "coming off some highs in coffee and cocoa" — consistent with MDLZ management's view that cocoa at ~$2,500/ton is a fair supply/demand level with potential for further downside.</w:t>
      </w:r>
    </w:p>
    <w:p>
      <w:pPr>
        <w:pStyle w:val="ListBullet"/>
        <w:ind w:left="360" w:hanging="360"/>
      </w:pPr>
      <w:r>
        <w:rPr>
          <w:rFonts w:ascii="Calibri" w:hAnsi="Calibri"/>
          <w:b/>
          <w:color w:val="525866"/>
          <w:sz w:val="22"/>
        </w:rPr>
        <w:t xml:space="preserve">Middle East Conflict Headwind — CONFIRMS MDLZ RISK: </w:t>
      </w:r>
      <w:r>
        <w:rPr>
          <w:rFonts w:ascii="Calibri" w:hAnsi="Calibri"/>
          <w:color w:val="525866"/>
          <w:sz w:val="22"/>
        </w:rPr>
        <w:t>Nestlé flagged "higher transportation and energy costs arising from the Middle East conflict" as an H2 headwind, exactly mirroring MDLZ's Q1 call commentary. This validates that the Middle East cost headwind is real and industry-wide, not MDLZ-specific, but also suggests it is manageable and already in guidance.</w:t>
      </w:r>
    </w:p>
    <w:p>
      <w:pPr>
        <w:pStyle w:val="ListBullet"/>
        <w:ind w:left="360" w:hanging="360"/>
      </w:pPr>
      <w:r>
        <w:rPr>
          <w:rFonts w:ascii="Calibri" w:hAnsi="Calibri"/>
          <w:b/>
          <w:color w:val="525866"/>
          <w:sz w:val="22"/>
        </w:rPr>
        <w:t xml:space="preserve">Emerging Markets Momentum — POSITIVE READ-THROUGH: </w:t>
      </w:r>
      <w:r>
        <w:rPr>
          <w:rFonts w:ascii="Calibri" w:hAnsi="Calibri"/>
          <w:color w:val="525866"/>
          <w:sz w:val="22"/>
        </w:rPr>
        <w:t>Nestlé's AOA (Asia, Oceania, Africa) zone delivered ~6% RIG in Q2, with India described as "very, very strong" and expected to deliver "double digit growth" even as the GST tailwind laps in Q3. This is highly relevant for MDLZ, which also cited India's GST change as a Q1 tailwind and has significant EM exposure (~40% of business). Broad-based EM strength across Asia, Africa, and Latin America is a positive read-through for MDLZ's Q2 EM organic growth.</w:t>
      </w:r>
    </w:p>
    <w:p>
      <w:pPr>
        <w:pStyle w:val="ListBullet"/>
        <w:ind w:left="360" w:hanging="360"/>
      </w:pPr>
      <w:r>
        <w:rPr>
          <w:rFonts w:ascii="Calibri" w:hAnsi="Calibri"/>
          <w:b/>
          <w:color w:val="525866"/>
          <w:sz w:val="22"/>
        </w:rPr>
        <w:t xml:space="preserve">Snacking Category Health — CONSTRUCTIVE: </w:t>
      </w:r>
      <w:r>
        <w:rPr>
          <w:rFonts w:ascii="Calibri" w:hAnsi="Calibri"/>
          <w:color w:val="525866"/>
          <w:sz w:val="22"/>
        </w:rPr>
        <w:t>Nestlé's food and snacks category delivered "consistent good growth with a balanced profile of RIG and pricing," including "double-digit RIG-led growth in emerging markets." All categories showed positive RIG in Q2. This is a positive read-through for MDLZ's biscuit and chocolate categories in EM.</w:t>
      </w:r>
    </w:p>
    <w:p>
      <w:pPr>
        <w:pStyle w:val="ListBullet"/>
        <w:ind w:left="360" w:hanging="360"/>
      </w:pPr>
      <w:r>
        <w:rPr>
          <w:rFonts w:ascii="Calibri" w:hAnsi="Calibri"/>
          <w:b/>
          <w:color w:val="525866"/>
          <w:sz w:val="22"/>
        </w:rPr>
        <w:t xml:space="preserve">European Confectionery — MIXED: </w:t>
      </w:r>
      <w:r>
        <w:rPr>
          <w:rFonts w:ascii="Calibri" w:hAnsi="Calibri"/>
          <w:color w:val="525866"/>
          <w:sz w:val="22"/>
        </w:rPr>
        <w:t>Nestlé noted "temporary customer delistings" impacted performance in Europe, "mainly coffee and confectionery." This is a mild negative read-through for MDLZ's European chocolate business, though MDLZ noted on its Q1 call that retailer negotiations are "generally complete" and the relationship is "in good terms."</w:t>
      </w:r>
    </w:p>
    <w:p>
      <w:pPr>
        <w:pStyle w:val="ListBullet"/>
        <w:ind w:left="360" w:hanging="360"/>
      </w:pPr>
      <w:r>
        <w:rPr>
          <w:rFonts w:ascii="Calibri" w:hAnsi="Calibri"/>
          <w:b/>
          <w:color w:val="525866"/>
          <w:sz w:val="22"/>
        </w:rPr>
        <w:t xml:space="preserve">North America Consumer — NUANCED: </w:t>
      </w:r>
      <w:r>
        <w:rPr>
          <w:rFonts w:ascii="Calibri" w:hAnsi="Calibri"/>
          <w:color w:val="525866"/>
          <w:sz w:val="22"/>
        </w:rPr>
        <w:t>Nestlé's NA organic growth trend has been "improving since the beginning of last year" with momentum maintained in Q2, though RIG declined in Q2 driven by coffee and pet care. The company noted that new Nespresso households "might have a little bit weaker purchasing power" — consistent with MDLZ's observation that NA consumer confidence "remains quite low."</w:t>
      </w:r>
    </w:p>
    <w:p>
      <w:r>
        <w:rPr>
          <w:rFonts w:ascii="Calibri" w:hAnsi="Calibri"/>
          <w:b/>
          <w:color w:val="525866"/>
          <w:sz w:val="22"/>
        </w:rPr>
        <w:t xml:space="preserve">MDLZ Read-Through Summary: </w:t>
      </w:r>
      <w:r>
        <w:rPr>
          <w:rFonts w:ascii="Calibri" w:hAnsi="Calibri"/>
          <w:color w:val="525866"/>
          <w:sz w:val="22"/>
        </w:rPr>
        <w:t>Nestlé's H1 2026 results are the most important peer read-through for MDLZ. The confirmation of lower cocoa/coffee costs flowing through the P&amp;L in H2, sustained EM momentum (especially India), and manageable Middle East headwinds all support MDLZ's Q2 2026 setup. The European confectionery delistings are a mild watch item but appear company-specific to Nestlé.</w:t>
      </w:r>
    </w:p>
    <w:p>
      <w:pPr>
        <w:pStyle w:val="Heading2"/>
      </w:pPr>
      <w:r>
        <w:rPr>
          <w:rFonts w:ascii="Calibri" w:hAnsi="Calibri"/>
          <w:b/>
          <w:color w:val="3B4259"/>
          <w:sz w:val="28"/>
        </w:rPr>
        <w:t>General Mills (GIS) — Q4 FY2026 Earnings Call (July 1, 2026)</w:t>
      </w:r>
    </w:p>
    <w:p>
      <w:r>
        <w:rPr>
          <w:rFonts w:ascii="Calibri" w:hAnsi="Calibri"/>
          <w:b/>
          <w:color w:val="525866"/>
          <w:sz w:val="22"/>
        </w:rPr>
        <w:t xml:space="preserve">Relevance: </w:t>
      </w:r>
      <w:r>
        <w:rPr>
          <w:rFonts w:ascii="Calibri" w:hAnsi="Calibri"/>
          <w:color w:val="525866"/>
          <w:sz w:val="22"/>
        </w:rPr>
        <w:t>GIS is a key North American packaged food peer with significant biscuit/snack exposure (Goldfish, Totino's, Chex Mix). Its commentary on the NA consumer and category health is directly relevant to MDLZ's North America biscuit business.</w:t>
      </w:r>
    </w:p>
    <w:p>
      <w:pPr>
        <w:pStyle w:val="ListBullet"/>
        <w:ind w:left="360" w:hanging="360"/>
      </w:pPr>
      <w:r>
        <w:rPr>
          <w:rFonts w:ascii="Calibri" w:hAnsi="Calibri"/>
          <w:b/>
          <w:color w:val="525866"/>
          <w:sz w:val="22"/>
        </w:rPr>
        <w:t xml:space="preserve">North America Consumer Remains Stressed — VALIDATES MDLZ CAUTION: </w:t>
      </w:r>
      <w:r>
        <w:rPr>
          <w:rFonts w:ascii="Calibri" w:hAnsi="Calibri"/>
          <w:color w:val="525866"/>
          <w:sz w:val="22"/>
        </w:rPr>
        <w:t>GIS expects consumers to "continue to be pressured" and to "change their behavior... being more deliberate in how and where they shop, buying more on promotion and less on everyday prices." Categories slowed by "about a point" as GIS exited Q4. GIS is "not anticipating an improved consumer environment or improved category environment" for FY2027. This validates MDLZ's cautious tone on North America and supports the low consensus bar for Q2 NA performance.</w:t>
      </w:r>
    </w:p>
    <w:p>
      <w:pPr>
        <w:pStyle w:val="ListBullet"/>
        <w:ind w:left="360" w:hanging="360"/>
      </w:pPr>
      <w:r>
        <w:rPr>
          <w:rFonts w:ascii="Calibri" w:hAnsi="Calibri"/>
          <w:b/>
          <w:color w:val="525866"/>
          <w:sz w:val="22"/>
        </w:rPr>
        <w:t xml:space="preserve">Value Channels Outperforming — CONSISTENT WITH MDLZ CHANNEL STRATEGY: </w:t>
      </w:r>
      <w:r>
        <w:rPr>
          <w:rFonts w:ascii="Calibri" w:hAnsi="Calibri"/>
          <w:color w:val="525866"/>
          <w:sz w:val="22"/>
        </w:rPr>
        <w:t>GIS noted that very low-income consumers are "spending more on at-home food" by trading down from restaurants, while higher-income consumers are trading into "higher priced, often smaller brands, protein-centric." This bifurcation is consistent with MDLZ's observation that biscuit growth is concentrated in "value club channels and in better-for-you and premium" — validating MDLZ's channel expansion strategy.</w:t>
      </w:r>
    </w:p>
    <w:p>
      <w:pPr>
        <w:pStyle w:val="ListBullet"/>
        <w:ind w:left="360" w:hanging="360"/>
      </w:pPr>
      <w:r>
        <w:rPr>
          <w:rFonts w:ascii="Calibri" w:hAnsi="Calibri"/>
          <w:b/>
          <w:color w:val="525866"/>
          <w:sz w:val="22"/>
        </w:rPr>
        <w:t xml:space="preserve">Snacking Category Pressure — MILD NEGATIVE READ-THROUGH: </w:t>
      </w:r>
      <w:r>
        <w:rPr>
          <w:rFonts w:ascii="Calibri" w:hAnsi="Calibri"/>
          <w:color w:val="525866"/>
          <w:sz w:val="22"/>
        </w:rPr>
        <w:t>GIS flagged ongoing pressure in salty snacks and noted Totino's was "a real problem" in FY2026 due to poor execution. While GIS is fixing these issues for FY2027, the broader message is that the NA snacking category remains soft, which is consistent with MDLZ's "flattish" biscuit category value commentary.</w:t>
      </w:r>
    </w:p>
    <w:p>
      <w:pPr>
        <w:pStyle w:val="ListBullet"/>
        <w:ind w:left="360" w:hanging="360"/>
      </w:pPr>
      <w:r>
        <w:rPr>
          <w:rFonts w:ascii="Calibri" w:hAnsi="Calibri"/>
          <w:b/>
          <w:color w:val="525866"/>
          <w:sz w:val="22"/>
        </w:rPr>
        <w:t xml:space="preserve">Inflation Outlook 4–5% for FY2027 — RELEVANT FOR MDLZ COST PLANNING: </w:t>
      </w:r>
      <w:r>
        <w:rPr>
          <w:rFonts w:ascii="Calibri" w:hAnsi="Calibri"/>
          <w:color w:val="525866"/>
          <w:sz w:val="22"/>
        </w:rPr>
        <w:t>GIS guided for 4–5% inflation in FY2027, assuming ~$100/barrel oil on uncovered portions. This is relevant for MDLZ's 2027 cost outlook, though MDLZ's primary commodity exposure is cocoa (which is deflationary) rather than oil/grains.</w:t>
      </w:r>
    </w:p>
    <w:p>
      <w:pPr>
        <w:pStyle w:val="ListBullet"/>
        <w:ind w:left="360" w:hanging="360"/>
      </w:pPr>
      <w:r>
        <w:rPr>
          <w:rFonts w:ascii="Calibri" w:hAnsi="Calibri"/>
          <w:b/>
          <w:color w:val="525866"/>
          <w:sz w:val="22"/>
        </w:rPr>
        <w:t xml:space="preserve">Brand Investment Step-Up — INDUSTRY TREND CONFIRMATION: </w:t>
      </w:r>
      <w:r>
        <w:rPr>
          <w:rFonts w:ascii="Calibri" w:hAnsi="Calibri"/>
          <w:color w:val="525866"/>
          <w:sz w:val="22"/>
        </w:rPr>
        <w:t>GIS is shifting from base price investments to "innovation and renovation, packaging and brand communication" in FY2027, with a "heavy emphasis on mix from premium innovation." This mirrors MDLZ's own strategy of stepping up working media and brand investment in 2026 — suggesting the industry is broadly moving toward investment-led volume recovery.</w:t>
      </w:r>
    </w:p>
    <w:p>
      <w:r>
        <w:rPr>
          <w:rFonts w:ascii="Calibri" w:hAnsi="Calibri"/>
          <w:b/>
          <w:color w:val="525866"/>
          <w:sz w:val="22"/>
        </w:rPr>
        <w:t xml:space="preserve">MDLZ Read-Through Summary: </w:t>
      </w:r>
      <w:r>
        <w:rPr>
          <w:rFonts w:ascii="Calibri" w:hAnsi="Calibri"/>
          <w:color w:val="525866"/>
          <w:sz w:val="22"/>
        </w:rPr>
        <w:t>GIS confirms the NA consumer remains stressed and category growth is soft, validating MDLZ's cautious NA guidance. The channel bifurcation (value + premium outperforming mainstream) is consistent with MDLZ's strategy. No major surprises — the read-through is broadly neutral to slightly negative for MDLZ's NA biscuit volumes in Q2.</w:t>
      </w:r>
    </w:p>
    <w:p>
      <w:pPr>
        <w:pStyle w:val="Heading2"/>
      </w:pPr>
      <w:r>
        <w:rPr>
          <w:rFonts w:ascii="Calibri" w:hAnsi="Calibri"/>
          <w:b/>
          <w:color w:val="3B4259"/>
          <w:sz w:val="28"/>
        </w:rPr>
        <w:t>Campbell's (CPB) — Q3 FY2026 Earnings Call (June 8, 2026)</w:t>
      </w:r>
    </w:p>
    <w:p>
      <w:r>
        <w:rPr>
          <w:rFonts w:ascii="Calibri" w:hAnsi="Calibri"/>
          <w:b/>
          <w:color w:val="525866"/>
          <w:sz w:val="22"/>
        </w:rPr>
        <w:t xml:space="preserve">Relevance: </w:t>
      </w:r>
      <w:r>
        <w:rPr>
          <w:rFonts w:ascii="Calibri" w:hAnsi="Calibri"/>
          <w:color w:val="525866"/>
          <w:sz w:val="22"/>
        </w:rPr>
        <w:t>CPB's Snacks division (Goldfish, Pepperidge Farm, salty snacks) competes directly with MDLZ in the NA biscuit/cracker aisle. Its commentary on snacking demand and the NA consumer is a direct read-through.</w:t>
      </w:r>
    </w:p>
    <w:p>
      <w:pPr>
        <w:pStyle w:val="ListBullet"/>
        <w:ind w:left="360" w:hanging="360"/>
      </w:pPr>
      <w:r>
        <w:rPr>
          <w:rFonts w:ascii="Calibri" w:hAnsi="Calibri"/>
          <w:b/>
          <w:color w:val="525866"/>
          <w:sz w:val="22"/>
        </w:rPr>
        <w:t xml:space="preserve">NA Snacking Remains Under Pressure — NEGATIVE READ-THROUGH: </w:t>
      </w:r>
      <w:r>
        <w:rPr>
          <w:rFonts w:ascii="Calibri" w:hAnsi="Calibri"/>
          <w:color w:val="525866"/>
          <w:sz w:val="22"/>
        </w:rPr>
        <w:t>CPB's Snacks division performance in Q4 FY2026 is expected to be "fairly similar to what you saw in Q3, might be a little bit worse." Goldfish is "still kind of down 1%, 2%" and salty snacks will "continue to feel some pressure." This is a mild negative read-through for MDLZ's NA biscuit volumes in Q2, though MDLZ's portfolio (Oreo, Ritz, Sour Patch Kids) is more diversified.</w:t>
      </w:r>
    </w:p>
    <w:p>
      <w:pPr>
        <w:pStyle w:val="ListBullet"/>
        <w:ind w:left="360" w:hanging="360"/>
      </w:pPr>
      <w:r>
        <w:rPr>
          <w:rFonts w:ascii="Calibri" w:hAnsi="Calibri"/>
          <w:b/>
          <w:color w:val="525866"/>
          <w:sz w:val="22"/>
        </w:rPr>
        <w:t xml:space="preserve">Middle East Conflict Inflation Impact — CONFIRMS MDLZ RISK: </w:t>
      </w:r>
      <w:r>
        <w:rPr>
          <w:rFonts w:ascii="Calibri" w:hAnsi="Calibri"/>
          <w:color w:val="525866"/>
          <w:sz w:val="22"/>
        </w:rPr>
        <w:t>CPB flagged that pre-conflict base inflation was ~3%, but with oil at ~$100/barrel, an "additional 2–3% inflation on top of the core 3%" is expected, encompassing packaging, logistics, aluminum, and fertilizer. CPB expects "elevated inflation for sure in the first half" of FY2027. This is consistent with MDLZ's flagging of Middle East-related cost headwinds in unhedged markets materializing in H2 2026.</w:t>
      </w:r>
    </w:p>
    <w:p>
      <w:pPr>
        <w:pStyle w:val="ListBullet"/>
        <w:ind w:left="360" w:hanging="360"/>
      </w:pPr>
      <w:r>
        <w:rPr>
          <w:rFonts w:ascii="Calibri" w:hAnsi="Calibri"/>
          <w:b/>
          <w:color w:val="525866"/>
          <w:sz w:val="22"/>
        </w:rPr>
        <w:t xml:space="preserve">Value/Club Channel Strength — POSITIVE READ-THROUGH: </w:t>
      </w:r>
      <w:r>
        <w:rPr>
          <w:rFonts w:ascii="Calibri" w:hAnsi="Calibri"/>
          <w:color w:val="525866"/>
          <w:sz w:val="22"/>
        </w:rPr>
        <w:t>CPB noted that Goldfish multipacks are "growing 6%" in the last 13 weeks, and the company is investing in "feature in display" promotions with "really, really impressive" ROIs. This is consistent with MDLZ's observation that Walmart, value channels, and Costco saw biscuit growth "over 4%" vs. the total US biscuit market at only 0.3% — validating MDLZ's channel expansion strategy.</w:t>
      </w:r>
    </w:p>
    <w:p>
      <w:pPr>
        <w:pStyle w:val="ListBullet"/>
        <w:ind w:left="360" w:hanging="360"/>
      </w:pPr>
      <w:r>
        <w:rPr>
          <w:rFonts w:ascii="Calibri" w:hAnsi="Calibri"/>
          <w:b/>
          <w:color w:val="525866"/>
          <w:sz w:val="22"/>
        </w:rPr>
        <w:t xml:space="preserve">At-Home Cooking Trend Resilient — NEUTRAL: </w:t>
      </w:r>
      <w:r>
        <w:rPr>
          <w:rFonts w:ascii="Calibri" w:hAnsi="Calibri"/>
          <w:color w:val="525866"/>
          <w:sz w:val="22"/>
        </w:rPr>
        <w:t>CPB highlighted that the "at-home cooking consumer trend is resilient" and expected to continue, benefiting its Meals &amp; Beverages portfolio. This is less directly relevant to MDLZ's snacking categories but confirms that at-home food consumption remains elevated, which is a broadly supportive backdrop for snacking.</w:t>
      </w:r>
    </w:p>
    <w:p>
      <w:pPr>
        <w:pStyle w:val="ListBullet"/>
        <w:ind w:left="360" w:hanging="360"/>
      </w:pPr>
      <w:r>
        <w:rPr>
          <w:rFonts w:ascii="Calibri" w:hAnsi="Calibri"/>
          <w:b/>
          <w:color w:val="525866"/>
          <w:sz w:val="22"/>
        </w:rPr>
        <w:t xml:space="preserve">M&amp;A Off the Table; Focus on Deleveraging — NEUTRAL: </w:t>
      </w:r>
      <w:r>
        <w:rPr>
          <w:rFonts w:ascii="Calibri" w:hAnsi="Calibri"/>
          <w:color w:val="525866"/>
          <w:sz w:val="22"/>
        </w:rPr>
        <w:t>CPB stated M&amp;A is "right now off the table" as it focuses on deleveraging. This is not directly relevant to MDLZ but confirms the industry is in a capital discipline phase.</w:t>
      </w:r>
    </w:p>
    <w:p>
      <w:r>
        <w:rPr>
          <w:rFonts w:ascii="Calibri" w:hAnsi="Calibri"/>
          <w:b/>
          <w:color w:val="525866"/>
          <w:sz w:val="22"/>
        </w:rPr>
        <w:t xml:space="preserve">MDLZ Read-Through Summary: </w:t>
      </w:r>
      <w:r>
        <w:rPr>
          <w:rFonts w:ascii="Calibri" w:hAnsi="Calibri"/>
          <w:color w:val="525866"/>
          <w:sz w:val="22"/>
        </w:rPr>
        <w:t>CPB's commentary is a mild negative read-through for MDLZ's NA biscuit volumes (category pressure persists) but confirms the Middle East inflation headwind is industry-wide and manageable. The value/club channel strength is a positive read-through for MDLZ's channel strategy.</w:t>
      </w:r>
    </w:p>
    <w:p>
      <w:pPr>
        <w:pStyle w:val="Heading2"/>
      </w:pPr>
      <w:r>
        <w:rPr>
          <w:rFonts w:ascii="Calibri" w:hAnsi="Calibri"/>
          <w:b/>
          <w:color w:val="3B4259"/>
          <w:sz w:val="28"/>
        </w:rPr>
        <w:t>Kraft Heinz (KHC) — Q1 2026 Earnings Call (May 6, 2026)</w:t>
      </w:r>
    </w:p>
    <w:p>
      <w:r>
        <w:rPr>
          <w:rFonts w:ascii="Calibri" w:hAnsi="Calibri"/>
          <w:b/>
          <w:color w:val="525866"/>
          <w:sz w:val="22"/>
        </w:rPr>
        <w:t xml:space="preserve">Relevance: </w:t>
      </w:r>
      <w:r>
        <w:rPr>
          <w:rFonts w:ascii="Calibri" w:hAnsi="Calibri"/>
          <w:color w:val="525866"/>
          <w:sz w:val="22"/>
        </w:rPr>
        <w:t>KHC is a major NA packaged food peer. Its Q2 2026 and H2 2026 forward guidance is directly relevant to MDLZ's NA consumer outlook.</w:t>
      </w:r>
    </w:p>
    <w:p>
      <w:pPr>
        <w:pStyle w:val="ListBullet"/>
        <w:ind w:left="360" w:hanging="360"/>
      </w:pPr>
      <w:r>
        <w:rPr>
          <w:rFonts w:ascii="Calibri" w:hAnsi="Calibri"/>
          <w:b/>
          <w:color w:val="525866"/>
          <w:sz w:val="22"/>
        </w:rPr>
        <w:t xml:space="preserve">Q2 2026 Top Line Guided -3% to -5% — NEGATIVE READ-THROUGH (BUT COMPANY-SPECIFIC): </w:t>
      </w:r>
      <w:r>
        <w:rPr>
          <w:rFonts w:ascii="Calibri" w:hAnsi="Calibri"/>
          <w:color w:val="525866"/>
          <w:sz w:val="22"/>
        </w:rPr>
        <w:t>KHC guided Q2 2026 top line to be "between minus 3% and minus 5%," citing Easter shift, SNAP headwinds (100 bps starting Q2), and category softness. While this is a company-specific issue (KHC has more SNAP exposure than MDLZ), it confirms that the NA consumer environment in Q2 2026 is challenging. MDLZ's biscuit category is less SNAP-dependent, but the broader consumer confidence signal is relevant.</w:t>
      </w:r>
    </w:p>
    <w:p>
      <w:pPr>
        <w:pStyle w:val="ListBullet"/>
        <w:ind w:left="360" w:hanging="360"/>
      </w:pPr>
      <w:r>
        <w:rPr>
          <w:rFonts w:ascii="Calibri" w:hAnsi="Calibri"/>
          <w:b/>
          <w:color w:val="525866"/>
          <w:sz w:val="22"/>
        </w:rPr>
        <w:t xml:space="preserve">SNAP Headwind Starting Q2 — MILD NEGATIVE READ-THROUGH: </w:t>
      </w:r>
      <w:r>
        <w:rPr>
          <w:rFonts w:ascii="Calibri" w:hAnsi="Calibri"/>
          <w:color w:val="525866"/>
          <w:sz w:val="22"/>
        </w:rPr>
        <w:t>KHC expects SNAP to be a "100 bps headwind in the year starting in the second quarter." SNAP households are "definitely under a lot of pressure." MDLZ has less direct SNAP exposure than KHC (snacks are less SNAP-eligible than staples), but the broader signal of lower-income consumer stress is relevant for MDLZ's value-oriented biscuit SKUs.</w:t>
      </w:r>
    </w:p>
    <w:p>
      <w:pPr>
        <w:pStyle w:val="ListBullet"/>
        <w:ind w:left="360" w:hanging="360"/>
      </w:pPr>
      <w:r>
        <w:rPr>
          <w:rFonts w:ascii="Calibri" w:hAnsi="Calibri"/>
          <w:b/>
          <w:color w:val="525866"/>
          <w:sz w:val="22"/>
        </w:rPr>
        <w:t xml:space="preserve">H2 2026 Not Calling for Acceleration — VALIDATES MDLZ CAUTION: </w:t>
      </w:r>
      <w:r>
        <w:rPr>
          <w:rFonts w:ascii="Calibri" w:hAnsi="Calibri"/>
          <w:color w:val="525866"/>
          <w:sz w:val="22"/>
        </w:rPr>
        <w:t>KHC stated it is "not really calling for an acceleration" in H2 2026 despite a strong Q1 start, citing prudence. This is consistent with MDLZ's posture of reaffirming rather than raising guidance, and validates the industry-wide caution about H2 visibility.</w:t>
      </w:r>
    </w:p>
    <w:p>
      <w:pPr>
        <w:pStyle w:val="ListBullet"/>
        <w:ind w:left="360" w:hanging="360"/>
      </w:pPr>
      <w:r>
        <w:rPr>
          <w:rFonts w:ascii="Calibri" w:hAnsi="Calibri"/>
          <w:b/>
          <w:color w:val="525866"/>
          <w:sz w:val="22"/>
        </w:rPr>
        <w:t xml:space="preserve">Pricing Environment "Very Rational" — POSITIVE READ-THROUGH: </w:t>
      </w:r>
      <w:r>
        <w:rPr>
          <w:rFonts w:ascii="Calibri" w:hAnsi="Calibri"/>
          <w:color w:val="525866"/>
          <w:sz w:val="22"/>
        </w:rPr>
        <w:t>KHC described the pricing environment as "very rational" following the inflationary cycle, with companies adjusting pricing "where it's gone a little too far." This is consistent with MDLZ's approach of resetting price points in certain European markets and focusing on PPA (price-pack architecture) in NA — suggesting the competitive pricing environment is not deteriorating.</w:t>
      </w:r>
    </w:p>
    <w:p>
      <w:pPr>
        <w:pStyle w:val="ListBullet"/>
        <w:ind w:left="360" w:hanging="360"/>
      </w:pPr>
      <w:r>
        <w:rPr>
          <w:rFonts w:ascii="Calibri" w:hAnsi="Calibri"/>
          <w:b/>
          <w:color w:val="525866"/>
          <w:sz w:val="22"/>
        </w:rPr>
        <w:t xml:space="preserve">Emerging Markets Improving — POSITIVE READ-THROUGH: </w:t>
      </w:r>
      <w:r>
        <w:rPr>
          <w:rFonts w:ascii="Calibri" w:hAnsi="Calibri"/>
          <w:color w:val="525866"/>
          <w:sz w:val="22"/>
        </w:rPr>
        <w:t>KHC cited "continuous improvement in Away From Home business worldwide and in emerging markets" as a partial offset to Q2 headwinds. This is consistent with MDLZ's strong EM momentum and supports the view that EM is a durable growth driver across the packaged food sector.</w:t>
      </w:r>
    </w:p>
    <w:p>
      <w:r>
        <w:rPr>
          <w:rFonts w:ascii="Calibri" w:hAnsi="Calibri"/>
          <w:b/>
          <w:color w:val="525866"/>
          <w:sz w:val="22"/>
        </w:rPr>
        <w:t xml:space="preserve">MDLZ Read-Through Summary: </w:t>
      </w:r>
      <w:r>
        <w:rPr>
          <w:rFonts w:ascii="Calibri" w:hAnsi="Calibri"/>
          <w:color w:val="525866"/>
          <w:sz w:val="22"/>
        </w:rPr>
        <w:t>KHC's Q2 guidance is more negative than what MDLZ is likely to report (KHC has more SNAP/staples exposure), but the broader signals — NA consumer stress, rational pricing, EM improvement — are consistent with MDLZ's own commentary. The SNAP headwind is less relevant for MDLZ's snacking portfolio.</w:t>
      </w:r>
    </w:p>
    <w:p>
      <w:pPr>
        <w:pStyle w:val="Heading2"/>
      </w:pPr>
      <w:r>
        <w:rPr>
          <w:rFonts w:ascii="Calibri" w:hAnsi="Calibri"/>
          <w:b/>
          <w:color w:val="3B4259"/>
          <w:sz w:val="28"/>
        </w:rPr>
        <w:t>Conagra Brands (CAG) — Q4 FY2026 Earnings Call (July 15, 2026)</w:t>
      </w:r>
    </w:p>
    <w:p>
      <w:r>
        <w:rPr>
          <w:rFonts w:ascii="Calibri" w:hAnsi="Calibri"/>
          <w:b/>
          <w:color w:val="525866"/>
          <w:sz w:val="22"/>
        </w:rPr>
        <w:t xml:space="preserve">Relevance: </w:t>
      </w:r>
      <w:r>
        <w:rPr>
          <w:rFonts w:ascii="Calibri" w:hAnsi="Calibri"/>
          <w:color w:val="525866"/>
          <w:sz w:val="22"/>
        </w:rPr>
        <w:t>CAG's permissible snacking portfolio (meat snacks, popcorn, seeds) competes at the margin with MDLZ's better-for-you snacking brands. Its FY2027 outlook is relevant for the NA snacking category.</w:t>
      </w:r>
    </w:p>
    <w:p>
      <w:pPr>
        <w:pStyle w:val="ListBullet"/>
        <w:ind w:left="360" w:hanging="360"/>
      </w:pPr>
      <w:r>
        <w:rPr>
          <w:rFonts w:ascii="Calibri" w:hAnsi="Calibri"/>
          <w:b/>
          <w:color w:val="525866"/>
          <w:sz w:val="22"/>
        </w:rPr>
        <w:t xml:space="preserve">Consumer "Very Value Conscious" — VALIDATES MDLZ NA CAUTION: </w:t>
      </w:r>
      <w:r>
        <w:rPr>
          <w:rFonts w:ascii="Calibri" w:hAnsi="Calibri"/>
          <w:color w:val="525866"/>
          <w:sz w:val="22"/>
        </w:rPr>
        <w:t>CAG's CEO noted the consumer is "being very value conscious" and guided for volumes "down mid-single digits" in FY2027, with organic net sales guided to "down 2%" at the midpoint. This is a more negative outlook than MDLZ's NA guidance, but CAG's frozen portfolio has more structural challenges than MDLZ's snacking brands.</w:t>
      </w:r>
    </w:p>
    <w:p>
      <w:pPr>
        <w:pStyle w:val="ListBullet"/>
        <w:ind w:left="360" w:hanging="360"/>
      </w:pPr>
      <w:r>
        <w:rPr>
          <w:rFonts w:ascii="Calibri" w:hAnsi="Calibri"/>
          <w:b/>
          <w:color w:val="525866"/>
          <w:sz w:val="22"/>
        </w:rPr>
        <w:t xml:space="preserve">Permissible Snacking Outperforming — POSITIVE READ-THROUGH: </w:t>
      </w:r>
      <w:r>
        <w:rPr>
          <w:rFonts w:ascii="Calibri" w:hAnsi="Calibri"/>
          <w:color w:val="525866"/>
          <w:sz w:val="22"/>
        </w:rPr>
        <w:t>CAG highlighted that "meat snacks, seed business, popcorn business, and permissible sweet snacks are performing incredibly well" and identified these as "growth drivers." This is consistent with MDLZ's own better-for-you innovation (Perfect Bar, Hu, Builders bar) and validates the premium/permissible snacking trend that MDLZ is investing behind.</w:t>
      </w:r>
    </w:p>
    <w:p>
      <w:pPr>
        <w:pStyle w:val="ListBullet"/>
        <w:ind w:left="360" w:hanging="360"/>
      </w:pPr>
      <w:r>
        <w:rPr>
          <w:rFonts w:ascii="Calibri" w:hAnsi="Calibri"/>
          <w:b/>
          <w:color w:val="525866"/>
          <w:sz w:val="22"/>
        </w:rPr>
        <w:t xml:space="preserve">Inflation 5–6% in FY2027 — RELEVANT COST SIGNAL: </w:t>
      </w:r>
      <w:r>
        <w:rPr>
          <w:rFonts w:ascii="Calibri" w:hAnsi="Calibri"/>
          <w:color w:val="525866"/>
          <w:sz w:val="22"/>
        </w:rPr>
        <w:t>CAG guided for 5–6% inflation in FY2027, driven by oil, packaging, logistics, and aluminum. This is consistent with CPB and GIS commentary and confirms the industry-wide cost pressure from Middle East conflict. For MDLZ, cocoa is the primary commodity (deflationary), so this is less directly impactful, but packaging and logistics costs are relevant.</w:t>
      </w:r>
    </w:p>
    <w:p>
      <w:pPr>
        <w:pStyle w:val="ListBullet"/>
        <w:ind w:left="360" w:hanging="360"/>
      </w:pPr>
      <w:r>
        <w:rPr>
          <w:rFonts w:ascii="Calibri" w:hAnsi="Calibri"/>
          <w:b/>
          <w:color w:val="525866"/>
          <w:sz w:val="22"/>
        </w:rPr>
        <w:t xml:space="preserve">Pricing "Inflation Justified" — NEUTRAL: </w:t>
      </w:r>
      <w:r>
        <w:rPr>
          <w:rFonts w:ascii="Calibri" w:hAnsi="Calibri"/>
          <w:color w:val="525866"/>
          <w:sz w:val="22"/>
        </w:rPr>
        <w:t>CAG plans to implement "inflation justified pricing where necessary" in FY2027, with pricing actions in mid-Q2 FY2027. This is consistent with the industry's rational pricing posture and does not signal a competitive pricing war that would pressure MDLZ's margins.</w:t>
      </w:r>
    </w:p>
    <w:p>
      <w:r>
        <w:rPr>
          <w:rFonts w:ascii="Calibri" w:hAnsi="Calibri"/>
          <w:b/>
          <w:color w:val="525866"/>
          <w:sz w:val="22"/>
        </w:rPr>
        <w:t xml:space="preserve">MDLZ Read-Through Summary: </w:t>
      </w:r>
      <w:r>
        <w:rPr>
          <w:rFonts w:ascii="Calibri" w:hAnsi="Calibri"/>
          <w:color w:val="525866"/>
          <w:sz w:val="22"/>
        </w:rPr>
        <w:t>CAG's commentary confirms the NA consumer is value-conscious and category volumes are under pressure, but the permissible snacking outperformance validates MDLZ's better-for-you innovation strategy. The cost inflation signals are consistent with MDLZ's own guidance.</w:t>
      </w:r>
    </w:p>
    <w:p>
      <w:pPr>
        <w:pStyle w:val="Heading2"/>
      </w:pPr>
      <w:r>
        <w:rPr>
          <w:rFonts w:ascii="Calibri" w:hAnsi="Calibri"/>
          <w:b/>
          <w:color w:val="3B4259"/>
          <w:sz w:val="28"/>
        </w:rPr>
        <w:t>Peer Read-Through Scorecard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MDLZ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Nestlé (NESN)</w:t>
            </w:r>
          </w:p>
        </w:tc>
        <w:tc>
          <w:tcPr>
            <w:tcW w:type="dxa" w:w="1728"/>
          </w:tcPr>
          <w:p>
            <w:r>
              <w:rPr>
                <w:rFonts w:ascii="Calibri" w:hAnsi="Calibri"/>
                <w:sz w:val="22"/>
              </w:rPr>
              <w:t>Jul 23, 2026</w:t>
            </w:r>
          </w:p>
        </w:tc>
        <w:tc>
          <w:tcPr>
            <w:tcW w:type="dxa" w:w="1728"/>
          </w:tcPr>
          <w:p>
            <w:r>
              <w:rPr>
                <w:rFonts w:ascii="Calibri" w:hAnsi="Calibri"/>
                <w:sz w:val="22"/>
              </w:rPr>
              <w:t>Cocoa/coffee cost tailwind in H2; EM strength; ME conflict headwind manageable</w:t>
            </w:r>
          </w:p>
        </w:tc>
        <w:tc>
          <w:tcPr>
            <w:tcW w:type="dxa" w:w="1728"/>
          </w:tcPr>
          <w:p>
            <w:r>
              <w:rPr>
                <w:rFonts w:ascii="Calibri" w:hAnsi="Calibri"/>
                <w:b/>
                <w:color w:val="30A46C"/>
                <w:sz w:val="22"/>
              </w:rPr>
              <w:t>Gross margin recovery on track; EM momentum confirmed</w:t>
            </w:r>
          </w:p>
        </w:tc>
        <w:tc>
          <w:tcPr>
            <w:tcW w:type="dxa" w:w="1728"/>
          </w:tcPr>
          <w:p>
            <w:r>
              <w:rPr>
                <w:rFonts w:ascii="Calibri" w:hAnsi="Calibri"/>
                <w:sz w:val="22"/>
              </w:rPr>
              <w:t>Positive</w:t>
            </w:r>
          </w:p>
        </w:tc>
      </w:tr>
      <w:tr>
        <w:tc>
          <w:tcPr>
            <w:tcW w:type="dxa" w:w="1728"/>
          </w:tcPr>
          <w:p>
            <w:r>
              <w:rPr>
                <w:rFonts w:ascii="Calibri" w:hAnsi="Calibri"/>
                <w:sz w:val="22"/>
              </w:rPr>
              <w:t>General Mills (GIS)</w:t>
            </w:r>
          </w:p>
        </w:tc>
        <w:tc>
          <w:tcPr>
            <w:tcW w:type="dxa" w:w="1728"/>
          </w:tcPr>
          <w:p>
            <w:r>
              <w:rPr>
                <w:rFonts w:ascii="Calibri" w:hAnsi="Calibri"/>
                <w:sz w:val="22"/>
              </w:rPr>
              <w:t>Jul 1, 2026</w:t>
            </w:r>
          </w:p>
        </w:tc>
        <w:tc>
          <w:tcPr>
            <w:tcW w:type="dxa" w:w="1728"/>
          </w:tcPr>
          <w:p>
            <w:r>
              <w:rPr>
                <w:rFonts w:ascii="Calibri" w:hAnsi="Calibri"/>
                <w:sz w:val="22"/>
              </w:rPr>
              <w:t>NA consumer stressed; category soft; value/premium bifurcation</w:t>
            </w:r>
          </w:p>
        </w:tc>
        <w:tc>
          <w:tcPr>
            <w:tcW w:type="dxa" w:w="1728"/>
          </w:tcPr>
          <w:p>
            <w:r>
              <w:rPr>
                <w:rFonts w:ascii="Calibri" w:hAnsi="Calibri"/>
                <w:b/>
                <w:color w:val="002FA7"/>
                <w:sz w:val="22"/>
              </w:rPr>
              <w:t>Validates cautious NA tone; channel strategy confirmed</w:t>
            </w:r>
          </w:p>
        </w:tc>
        <w:tc>
          <w:tcPr>
            <w:tcW w:type="dxa" w:w="1728"/>
          </w:tcPr>
          <w:p>
            <w:r>
              <w:rPr>
                <w:rFonts w:ascii="Calibri" w:hAnsi="Calibri"/>
                <w:sz w:val="22"/>
              </w:rPr>
              <w:t>Neutral</w:t>
            </w:r>
          </w:p>
        </w:tc>
      </w:tr>
      <w:tr>
        <w:tc>
          <w:tcPr>
            <w:tcW w:type="dxa" w:w="1728"/>
          </w:tcPr>
          <w:p>
            <w:r>
              <w:rPr>
                <w:rFonts w:ascii="Calibri" w:hAnsi="Calibri"/>
                <w:sz w:val="22"/>
              </w:rPr>
              <w:t>Conagra (CAG)</w:t>
            </w:r>
          </w:p>
        </w:tc>
        <w:tc>
          <w:tcPr>
            <w:tcW w:type="dxa" w:w="1728"/>
          </w:tcPr>
          <w:p>
            <w:r>
              <w:rPr>
                <w:rFonts w:ascii="Calibri" w:hAnsi="Calibri"/>
                <w:sz w:val="22"/>
              </w:rPr>
              <w:t>Jul 15, 2026</w:t>
            </w:r>
          </w:p>
        </w:tc>
        <w:tc>
          <w:tcPr>
            <w:tcW w:type="dxa" w:w="1728"/>
          </w:tcPr>
          <w:p>
            <w:r>
              <w:rPr>
                <w:rFonts w:ascii="Calibri" w:hAnsi="Calibri"/>
                <w:sz w:val="22"/>
              </w:rPr>
              <w:t>Consumer value-conscious; permissible snacking outperforming; inflation 5–6%</w:t>
            </w:r>
          </w:p>
        </w:tc>
        <w:tc>
          <w:tcPr>
            <w:tcW w:type="dxa" w:w="1728"/>
          </w:tcPr>
          <w:p>
            <w:r>
              <w:rPr>
                <w:rFonts w:ascii="Calibri" w:hAnsi="Calibri"/>
                <w:b/>
                <w:color w:val="002FA7"/>
                <w:sz w:val="22"/>
              </w:rPr>
              <w:t>Better-for-you innovation validated; cost pressure manageable for MDLZ (cocoa deflationary)</w:t>
            </w:r>
          </w:p>
        </w:tc>
        <w:tc>
          <w:tcPr>
            <w:tcW w:type="dxa" w:w="1728"/>
          </w:tcPr>
          <w:p>
            <w:r>
              <w:rPr>
                <w:rFonts w:ascii="Calibri" w:hAnsi="Calibri"/>
                <w:sz w:val="22"/>
              </w:rPr>
              <w:t>Neutral</w:t>
            </w:r>
          </w:p>
        </w:tc>
      </w:tr>
      <w:tr>
        <w:tc>
          <w:tcPr>
            <w:tcW w:type="dxa" w:w="1728"/>
          </w:tcPr>
          <w:p>
            <w:r>
              <w:rPr>
                <w:rFonts w:ascii="Calibri" w:hAnsi="Calibri"/>
                <w:sz w:val="22"/>
              </w:rPr>
              <w:t>Campbell's (CPB)</w:t>
            </w:r>
          </w:p>
        </w:tc>
        <w:tc>
          <w:tcPr>
            <w:tcW w:type="dxa" w:w="1728"/>
          </w:tcPr>
          <w:p>
            <w:r>
              <w:rPr>
                <w:rFonts w:ascii="Calibri" w:hAnsi="Calibri"/>
                <w:sz w:val="22"/>
              </w:rPr>
              <w:t>Jun 8, 2026</w:t>
            </w:r>
          </w:p>
        </w:tc>
        <w:tc>
          <w:tcPr>
            <w:tcW w:type="dxa" w:w="1728"/>
          </w:tcPr>
          <w:p>
            <w:r>
              <w:rPr>
                <w:rFonts w:ascii="Calibri" w:hAnsi="Calibri"/>
                <w:sz w:val="22"/>
              </w:rPr>
              <w:t>NA snacking under pressure; value/club channels strong; ME inflation confirmed</w:t>
            </w:r>
          </w:p>
        </w:tc>
        <w:tc>
          <w:tcPr>
            <w:tcW w:type="dxa" w:w="1728"/>
          </w:tcPr>
          <w:p>
            <w:r>
              <w:rPr>
                <w:rFonts w:ascii="Calibri" w:hAnsi="Calibri"/>
                <w:b/>
                <w:color w:val="E5484D"/>
                <w:sz w:val="22"/>
              </w:rPr>
              <w:t>NA biscuit category soft; club channel strategy validated</w:t>
            </w:r>
          </w:p>
        </w:tc>
        <w:tc>
          <w:tcPr>
            <w:tcW w:type="dxa" w:w="1728"/>
          </w:tcPr>
          <w:p>
            <w:r>
              <w:rPr>
                <w:rFonts w:ascii="Calibri" w:hAnsi="Calibri"/>
                <w:sz w:val="22"/>
              </w:rPr>
              <w:t>Mild Negative</w:t>
            </w:r>
          </w:p>
        </w:tc>
      </w:tr>
      <w:tr>
        <w:tc>
          <w:tcPr>
            <w:tcW w:type="dxa" w:w="1728"/>
          </w:tcPr>
          <w:p>
            <w:r>
              <w:rPr>
                <w:rFonts w:ascii="Calibri" w:hAnsi="Calibri"/>
                <w:sz w:val="22"/>
              </w:rPr>
              <w:t>Kraft Heinz (KHC)</w:t>
            </w:r>
          </w:p>
        </w:tc>
        <w:tc>
          <w:tcPr>
            <w:tcW w:type="dxa" w:w="1728"/>
          </w:tcPr>
          <w:p>
            <w:r>
              <w:rPr>
                <w:rFonts w:ascii="Calibri" w:hAnsi="Calibri"/>
                <w:sz w:val="22"/>
              </w:rPr>
              <w:t>May 6, 2026</w:t>
            </w:r>
          </w:p>
        </w:tc>
        <w:tc>
          <w:tcPr>
            <w:tcW w:type="dxa" w:w="1728"/>
          </w:tcPr>
          <w:p>
            <w:r>
              <w:rPr>
                <w:rFonts w:ascii="Calibri" w:hAnsi="Calibri"/>
                <w:sz w:val="22"/>
              </w:rPr>
              <w:t>Q2 top line -3% to -5%; SNAP headwind; rational pricing; EM improving</w:t>
            </w:r>
          </w:p>
        </w:tc>
        <w:tc>
          <w:tcPr>
            <w:tcW w:type="dxa" w:w="1728"/>
          </w:tcPr>
          <w:p>
            <w:r>
              <w:rPr>
                <w:rFonts w:ascii="Calibri" w:hAnsi="Calibri"/>
                <w:b/>
                <w:color w:val="002FA7"/>
                <w:sz w:val="22"/>
              </w:rPr>
              <w:t>Company-specific issues; SNAP less relevant for MDLZ; pricing rational</w:t>
            </w:r>
          </w:p>
        </w:tc>
        <w:tc>
          <w:tcPr>
            <w:tcW w:type="dxa" w:w="1728"/>
          </w:tcPr>
          <w:p>
            <w:r>
              <w:rPr>
                <w:rFonts w:ascii="Calibri" w:hAnsi="Calibri"/>
                <w:sz w:val="22"/>
              </w:rPr>
              <w:t>Neutral (MDLZ less exposed)</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Nestlé's July 23 confirmation that lower cocoa costs are flowing through the P&amp;L in H2 2026 — a direct positive signal for MDLZ's gross margin recovery thesis. No company-specific negative catalysts have emerged since the Q1 print.</w:t>
      </w:r>
    </w:p>
    <w:p>
      <w:pPr>
        <w:pStyle w:val="ListBullet"/>
        <w:ind w:left="360" w:hanging="360"/>
      </w:pPr>
      <w:r>
        <w:rPr>
          <w:rFonts w:ascii="Calibri" w:hAnsi="Calibri"/>
          <w:b/>
          <w:color w:val="525866"/>
          <w:sz w:val="22"/>
        </w:rPr>
        <w:t xml:space="preserve">July 23, 2026 — Nestlé H1 2026 Results (Peer Read-Through): </w:t>
      </w:r>
      <w:r>
        <w:rPr>
          <w:rFonts w:ascii="Calibri" w:hAnsi="Calibri"/>
          <w:color w:val="525866"/>
          <w:sz w:val="22"/>
        </w:rPr>
        <w:t xml:space="preserve">Nestlé confirmed lower cocoa and coffee costs are benefiting H2 2026 margins, and flagged Middle East conflict as a manageable headwind. Broad-based EM strength (India "very, very strong"; AOA RIG ~6% in Q2) is a direct positive read-through for MDLZ's EM business. Nestlé tightened FY2026 organic growth guidance to 3–4% (from "around 3% up to 4%"), signaling improving confidence. </w:t>
      </w:r>
    </w:p>
    <w:p>
      <w:pPr>
        <w:pStyle w:val="ListBullet"/>
        <w:ind w:left="360" w:hanging="360"/>
      </w:pPr>
      <w:r>
        <w:rPr>
          <w:rFonts w:ascii="Calibri" w:hAnsi="Calibri"/>
          <w:b/>
          <w:color w:val="525866"/>
          <w:sz w:val="22"/>
        </w:rPr>
        <w:t xml:space="preserve">July 15, 2026 — Conagra Q4 FY2026 Results (Peer Read-Through): </w:t>
      </w:r>
      <w:r>
        <w:rPr>
          <w:rFonts w:ascii="Calibri" w:hAnsi="Calibri"/>
          <w:color w:val="525866"/>
          <w:sz w:val="22"/>
        </w:rPr>
        <w:t>CAG guided FY2027 organic net sales to -2% at midpoint with volumes down mid-single digits, confirming the NA consumer remains value-conscious. Permissible snacking (meat snacks, popcorn, seeds) identified as growth drivers — validates MDLZ's better-for-you innovation strategy. Inflation guided at 5–6% for FY2027 driven by Middle East conflict.</w:t>
      </w:r>
    </w:p>
    <w:p>
      <w:pPr>
        <w:pStyle w:val="ListBullet"/>
        <w:ind w:left="360" w:hanging="360"/>
      </w:pPr>
      <w:r>
        <w:rPr>
          <w:rFonts w:ascii="Calibri" w:hAnsi="Calibri"/>
          <w:b/>
          <w:color w:val="525866"/>
          <w:sz w:val="22"/>
        </w:rPr>
        <w:t xml:space="preserve">July 9, 2026 — PepsiCo Q2 2026 Results (Limited Read-Through): </w:t>
      </w:r>
      <w:r>
        <w:rPr>
          <w:rFonts w:ascii="Calibri" w:hAnsi="Calibri"/>
          <w:color w:val="525866"/>
          <w:sz w:val="22"/>
        </w:rPr>
        <w:t>PEP's Q2 2026 earnings call transcript was not substantive (call ended without content). Limited direct read-through for MDLZ's snacking categories.</w:t>
      </w:r>
    </w:p>
    <w:p>
      <w:pPr>
        <w:pStyle w:val="ListBullet"/>
        <w:ind w:left="360" w:hanging="360"/>
      </w:pPr>
      <w:r>
        <w:rPr>
          <w:rFonts w:ascii="Calibri" w:hAnsi="Calibri"/>
          <w:b/>
          <w:color w:val="525866"/>
          <w:sz w:val="22"/>
        </w:rPr>
        <w:t xml:space="preserve">July 1–2, 2026 — CFO Equity Award Grant: </w:t>
      </w:r>
      <w:r>
        <w:rPr>
          <w:rFonts w:ascii="Calibri" w:hAnsi="Calibri"/>
          <w:color w:val="525866"/>
          <w:sz w:val="22"/>
        </w:rPr>
        <w:t>CFO Amit Banati received equity awards (122,210 stock options + 20,370 shares of common stock) on July 1, 2026. Routine compensation grant; no open-market purchase signal.</w:t>
      </w:r>
    </w:p>
    <w:p>
      <w:pPr>
        <w:pStyle w:val="ListBullet"/>
        <w:ind w:left="360" w:hanging="360"/>
      </w:pPr>
      <w:r>
        <w:rPr>
          <w:rFonts w:ascii="Calibri" w:hAnsi="Calibri"/>
          <w:b/>
          <w:color w:val="525866"/>
          <w:sz w:val="22"/>
        </w:rPr>
        <w:t xml:space="preserve">July 1, 2026 — General Mills Q4 FY2026 Results (Peer Read-Through): </w:t>
      </w:r>
      <w:r>
        <w:rPr>
          <w:rFonts w:ascii="Calibri" w:hAnsi="Calibri"/>
          <w:color w:val="525866"/>
          <w:sz w:val="22"/>
        </w:rPr>
        <w:t>GIS confirmed NA consumer remains stressed with categories "slowed by about a point" exiting Q4. GIS is "not anticipating an improved consumer environment" for FY2027. Validates MDLZ's cautious NA tone. GIS's base price investment strategy "worked" and is now shifting to innovation/renovation — consistent with MDLZ's own reinvestment posture.</w:t>
      </w:r>
    </w:p>
    <w:p>
      <w:pPr>
        <w:pStyle w:val="ListBullet"/>
        <w:ind w:left="360" w:hanging="360"/>
      </w:pPr>
      <w:r>
        <w:rPr>
          <w:rFonts w:ascii="Calibri" w:hAnsi="Calibri"/>
          <w:b/>
          <w:color w:val="525866"/>
          <w:sz w:val="22"/>
        </w:rPr>
        <w:t xml:space="preserve">June 8–9, 2026 — Campbell's Q3 FY2026 Results (Peer Read-Through): </w:t>
      </w:r>
      <w:r>
        <w:rPr>
          <w:rFonts w:ascii="Calibri" w:hAnsi="Calibri"/>
          <w:color w:val="525866"/>
          <w:sz w:val="22"/>
        </w:rPr>
        <w:t>CPB's Snacks division expected to remain under pressure in Q4 FY2026. Goldfish still down 1–2%. Value/club channel strength (multipacks +6%) validates MDLZ's channel strategy. Middle East inflation headwind confirmed at 2–3% incremental above base 3%.</w:t>
      </w:r>
    </w:p>
    <w:p>
      <w:pPr>
        <w:pStyle w:val="ListBullet"/>
        <w:ind w:left="360" w:hanging="360"/>
      </w:pPr>
      <w:r>
        <w:rPr>
          <w:rFonts w:ascii="Calibri" w:hAnsi="Calibri"/>
          <w:b/>
          <w:color w:val="525866"/>
          <w:sz w:val="22"/>
        </w:rPr>
        <w:t xml:space="preserve">May 21, 2026 — Board of Directors Annual RSU Grants: </w:t>
      </w:r>
      <w:r>
        <w:rPr>
          <w:rFonts w:ascii="Calibri" w:hAnsi="Calibri"/>
          <w:color w:val="525866"/>
          <w:sz w:val="22"/>
        </w:rPr>
        <w:t>Nine directors each received 3,525 shares of common stock as routine annual compensation grants. No open-market purchase signal.</w:t>
      </w:r>
    </w:p>
    <w:p>
      <w:pPr>
        <w:pStyle w:val="ListBullet"/>
        <w:ind w:left="360" w:hanging="360"/>
      </w:pPr>
      <w:r>
        <w:rPr>
          <w:rFonts w:ascii="Calibri" w:hAnsi="Calibri"/>
          <w:b/>
          <w:color w:val="525866"/>
          <w:sz w:val="22"/>
        </w:rPr>
        <w:t xml:space="preserve">May 6, 2026 — Kraft Heinz Q1 2026 Results (Peer Read-Through): </w:t>
      </w:r>
      <w:r>
        <w:rPr>
          <w:rFonts w:ascii="Calibri" w:hAnsi="Calibri"/>
          <w:color w:val="525866"/>
          <w:sz w:val="22"/>
        </w:rPr>
        <w:t>KHC guided Q2 2026 top line to -3% to -5%, citing Easter shift and SNAP headwinds. Pricing environment described as "very rational." EM improving. Less directly relevant to MDLZ given KHC's different portfolio mix (more SNAP-exposed staples vs. MDLZ's snacking focus).</w:t>
      </w:r>
    </w:p>
    <w:p>
      <w:pPr>
        <w:pStyle w:val="ListBullet"/>
        <w:ind w:left="360" w:hanging="360"/>
      </w:pPr>
      <w:r>
        <w:rPr>
          <w:rFonts w:ascii="Calibri" w:hAnsi="Calibri"/>
          <w:b/>
          <w:color w:val="525866"/>
          <w:sz w:val="22"/>
        </w:rPr>
        <w:t xml:space="preserve">April 28–29, 2026 — Post-Q1 Analyst Price Target Upgrades: </w:t>
      </w:r>
      <w:r>
        <w:rPr>
          <w:rFonts w:ascii="Calibri" w:hAnsi="Calibri"/>
          <w:color w:val="525866"/>
          <w:sz w:val="22"/>
        </w:rPr>
        <w:t>Following the Q1 2026 beat, JPMorgan raised its price target from $67 to $70 (Overweight), TD Cowen raised from $65 to $67 (Buy), and UBS raised from $62 to $64 (Neutral). Morgan Stanley reiterated Overweight. Freedom Capital downgraded from Strong Buy to Hold (May 26, 2026). Consensus analyst rating remains "Moderate Buy" with average PT ~$67–$68.</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the Q1 earnings date. All transactions are routine compensation-related grants (code A = award) or minor trust transfers. </w:t>
      </w:r>
      <w:r>
        <w:rPr>
          <w:rFonts w:ascii="Calibri" w:hAnsi="Calibri"/>
          <w:b/>
          <w:color w:val="525866"/>
          <w:sz w:val="22"/>
        </w:rPr>
        <w:t>The absence of any open-market selling by executives is mildly constructive</w:t>
      </w:r>
      <w:r>
        <w:rPr>
          <w:rFonts w:ascii="Calibri" w:hAnsi="Calibri"/>
          <w:color w:val="525866"/>
          <w:sz w:val="22"/>
        </w:rPr>
        <w:t xml:space="preserve"> — insiders are not using the post-earnings stock strength to reduce exposure.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Amit Banati</w:t>
            </w:r>
          </w:p>
        </w:tc>
        <w:tc>
          <w:tcPr>
            <w:tcW w:type="dxa" w:w="1440"/>
          </w:tcPr>
          <w:p>
            <w:r>
              <w:rPr>
                <w:rFonts w:ascii="Calibri" w:hAnsi="Calibri"/>
                <w:sz w:val="22"/>
              </w:rPr>
              <w:t>EVP and CFO</w:t>
            </w:r>
          </w:p>
        </w:tc>
        <w:tc>
          <w:tcPr>
            <w:tcW w:type="dxa" w:w="1440"/>
          </w:tcPr>
          <w:p>
            <w:r>
              <w:rPr>
                <w:rFonts w:ascii="Calibri" w:hAnsi="Calibri"/>
                <w:sz w:val="22"/>
              </w:rPr>
              <w:t>Award (Stock Options)</w:t>
            </w:r>
          </w:p>
        </w:tc>
        <w:tc>
          <w:tcPr>
            <w:tcW w:type="dxa" w:w="1440"/>
          </w:tcPr>
          <w:p>
            <w:r>
              <w:rPr>
                <w:rFonts w:ascii="Calibri" w:hAnsi="Calibri"/>
                <w:sz w:val="22"/>
              </w:rPr>
              <w:t>122,210 options</w:t>
            </w:r>
          </w:p>
        </w:tc>
        <w:tc>
          <w:tcPr>
            <w:tcW w:type="dxa" w:w="1440"/>
          </w:tcPr>
          <w:p>
            <w:r>
              <w:rPr>
                <w:rFonts w:ascii="Calibri" w:hAnsi="Calibri"/>
                <w:sz w:val="22"/>
              </w:rPr>
              <w:t>Jul 1, 2026</w:t>
            </w:r>
          </w:p>
        </w:tc>
        <w:tc>
          <w:tcPr>
            <w:tcW w:type="dxa" w:w="1440"/>
          </w:tcPr>
          <w:p>
            <w:r>
              <w:rPr>
                <w:rFonts w:ascii="Calibri" w:hAnsi="Calibri"/>
                <w:sz w:val="22"/>
              </w:rPr>
              <w:t>Routine compensation award; not an open-market purchase</w:t>
            </w:r>
          </w:p>
        </w:tc>
      </w:tr>
      <w:tr>
        <w:tc>
          <w:tcPr>
            <w:tcW w:type="dxa" w:w="1440"/>
          </w:tcPr>
          <w:p>
            <w:r>
              <w:rPr>
                <w:rFonts w:ascii="Calibri" w:hAnsi="Calibri"/>
                <w:sz w:val="22"/>
              </w:rPr>
              <w:t>Amit Banati</w:t>
            </w:r>
          </w:p>
        </w:tc>
        <w:tc>
          <w:tcPr>
            <w:tcW w:type="dxa" w:w="1440"/>
          </w:tcPr>
          <w:p>
            <w:r>
              <w:rPr>
                <w:rFonts w:ascii="Calibri" w:hAnsi="Calibri"/>
                <w:sz w:val="22"/>
              </w:rPr>
              <w:t>EVP and CFO</w:t>
            </w:r>
          </w:p>
        </w:tc>
        <w:tc>
          <w:tcPr>
            <w:tcW w:type="dxa" w:w="1440"/>
          </w:tcPr>
          <w:p>
            <w:r>
              <w:rPr>
                <w:rFonts w:ascii="Calibri" w:hAnsi="Calibri"/>
                <w:sz w:val="22"/>
              </w:rPr>
              <w:t>Award (Common Stock)</w:t>
            </w:r>
          </w:p>
        </w:tc>
        <w:tc>
          <w:tcPr>
            <w:tcW w:type="dxa" w:w="1440"/>
          </w:tcPr>
          <w:p>
            <w:r>
              <w:rPr>
                <w:rFonts w:ascii="Calibri" w:hAnsi="Calibri"/>
                <w:sz w:val="22"/>
              </w:rPr>
              <w:t>20,370 shares</w:t>
            </w:r>
          </w:p>
        </w:tc>
        <w:tc>
          <w:tcPr>
            <w:tcW w:type="dxa" w:w="1440"/>
          </w:tcPr>
          <w:p>
            <w:r>
              <w:rPr>
                <w:rFonts w:ascii="Calibri" w:hAnsi="Calibri"/>
                <w:sz w:val="22"/>
              </w:rPr>
              <w:t>Jul 1, 2026</w:t>
            </w:r>
          </w:p>
        </w:tc>
        <w:tc>
          <w:tcPr>
            <w:tcW w:type="dxa" w:w="1440"/>
          </w:tcPr>
          <w:p>
            <w:r>
              <w:rPr>
                <w:rFonts w:ascii="Calibri" w:hAnsi="Calibri"/>
                <w:sz w:val="22"/>
              </w:rPr>
              <w:t>Routine compensation award; not an open-market purchase</w:t>
            </w:r>
          </w:p>
        </w:tc>
      </w:tr>
      <w:tr>
        <w:tc>
          <w:tcPr>
            <w:tcW w:type="dxa" w:w="1440"/>
          </w:tcPr>
          <w:p>
            <w:r>
              <w:rPr>
                <w:rFonts w:ascii="Calibri" w:hAnsi="Calibri"/>
                <w:sz w:val="22"/>
              </w:rPr>
              <w:t>Ertharin Cousin</w:t>
            </w:r>
          </w:p>
        </w:tc>
        <w:tc>
          <w:tcPr>
            <w:tcW w:type="dxa" w:w="1440"/>
          </w:tcPr>
          <w:p>
            <w:r>
              <w:rPr>
                <w:rFonts w:ascii="Calibri" w:hAnsi="Calibri"/>
                <w:sz w:val="22"/>
              </w:rPr>
              <w:t>Director</w:t>
            </w:r>
          </w:p>
        </w:tc>
        <w:tc>
          <w:tcPr>
            <w:tcW w:type="dxa" w:w="1440"/>
          </w:tcPr>
          <w:p>
            <w:r>
              <w:rPr>
                <w:rFonts w:ascii="Calibri" w:hAnsi="Calibri"/>
                <w:sz w:val="22"/>
              </w:rPr>
              <w:t>Award (Common Stock)</w:t>
            </w:r>
          </w:p>
        </w:tc>
        <w:tc>
          <w:tcPr>
            <w:tcW w:type="dxa" w:w="1440"/>
          </w:tcPr>
          <w:p>
            <w:r>
              <w:rPr>
                <w:rFonts w:ascii="Calibri" w:hAnsi="Calibri"/>
                <w:sz w:val="22"/>
              </w:rPr>
              <w:t>3,525 shares</w:t>
            </w:r>
          </w:p>
        </w:tc>
        <w:tc>
          <w:tcPr>
            <w:tcW w:type="dxa" w:w="1440"/>
          </w:tcPr>
          <w:p>
            <w:r>
              <w:rPr>
                <w:rFonts w:ascii="Calibri" w:hAnsi="Calibri"/>
                <w:sz w:val="22"/>
              </w:rPr>
              <w:t>May 20, 2026</w:t>
            </w:r>
          </w:p>
        </w:tc>
        <w:tc>
          <w:tcPr>
            <w:tcW w:type="dxa" w:w="1440"/>
          </w:tcPr>
          <w:p>
            <w:r>
              <w:rPr>
                <w:rFonts w:ascii="Calibri" w:hAnsi="Calibri"/>
                <w:sz w:val="22"/>
              </w:rPr>
              <w:t>Annual director compensation grant</w:t>
            </w:r>
          </w:p>
        </w:tc>
      </w:tr>
      <w:tr>
        <w:tc>
          <w:tcPr>
            <w:tcW w:type="dxa" w:w="1440"/>
          </w:tcPr>
          <w:p>
            <w:r>
              <w:rPr>
                <w:rFonts w:ascii="Calibri" w:hAnsi="Calibri"/>
                <w:sz w:val="22"/>
              </w:rPr>
              <w:t>Nancy McKinstry</w:t>
            </w:r>
          </w:p>
        </w:tc>
        <w:tc>
          <w:tcPr>
            <w:tcW w:type="dxa" w:w="1440"/>
          </w:tcPr>
          <w:p>
            <w:r>
              <w:rPr>
                <w:rFonts w:ascii="Calibri" w:hAnsi="Calibri"/>
                <w:sz w:val="22"/>
              </w:rPr>
              <w:t>Director</w:t>
            </w:r>
          </w:p>
        </w:tc>
        <w:tc>
          <w:tcPr>
            <w:tcW w:type="dxa" w:w="1440"/>
          </w:tcPr>
          <w:p>
            <w:r>
              <w:rPr>
                <w:rFonts w:ascii="Calibri" w:hAnsi="Calibri"/>
                <w:sz w:val="22"/>
              </w:rPr>
              <w:t>Award (Common Stock)</w:t>
            </w:r>
          </w:p>
        </w:tc>
        <w:tc>
          <w:tcPr>
            <w:tcW w:type="dxa" w:w="1440"/>
          </w:tcPr>
          <w:p>
            <w:r>
              <w:rPr>
                <w:rFonts w:ascii="Calibri" w:hAnsi="Calibri"/>
                <w:sz w:val="22"/>
              </w:rPr>
              <w:t>3,525 shares</w:t>
            </w:r>
          </w:p>
        </w:tc>
        <w:tc>
          <w:tcPr>
            <w:tcW w:type="dxa" w:w="1440"/>
          </w:tcPr>
          <w:p>
            <w:r>
              <w:rPr>
                <w:rFonts w:ascii="Calibri" w:hAnsi="Calibri"/>
                <w:sz w:val="22"/>
              </w:rPr>
              <w:t>May 20, 2026</w:t>
            </w:r>
          </w:p>
        </w:tc>
        <w:tc>
          <w:tcPr>
            <w:tcW w:type="dxa" w:w="1440"/>
          </w:tcPr>
          <w:p>
            <w:r>
              <w:rPr>
                <w:rFonts w:ascii="Calibri" w:hAnsi="Calibri"/>
                <w:sz w:val="22"/>
              </w:rPr>
              <w:t>Annual director compensation grant</w:t>
            </w:r>
          </w:p>
        </w:tc>
      </w:tr>
      <w:tr>
        <w:tc>
          <w:tcPr>
            <w:tcW w:type="dxa" w:w="1440"/>
          </w:tcPr>
          <w:p>
            <w:r>
              <w:rPr>
                <w:rFonts w:ascii="Calibri" w:hAnsi="Calibri"/>
                <w:sz w:val="22"/>
              </w:rPr>
              <w:t>Brian James McNamara</w:t>
            </w:r>
          </w:p>
        </w:tc>
        <w:tc>
          <w:tcPr>
            <w:tcW w:type="dxa" w:w="1440"/>
          </w:tcPr>
          <w:p>
            <w:r>
              <w:rPr>
                <w:rFonts w:ascii="Calibri" w:hAnsi="Calibri"/>
                <w:sz w:val="22"/>
              </w:rPr>
              <w:t>Director</w:t>
            </w:r>
          </w:p>
        </w:tc>
        <w:tc>
          <w:tcPr>
            <w:tcW w:type="dxa" w:w="1440"/>
          </w:tcPr>
          <w:p>
            <w:r>
              <w:rPr>
                <w:rFonts w:ascii="Calibri" w:hAnsi="Calibri"/>
                <w:sz w:val="22"/>
              </w:rPr>
              <w:t>Award (Common Stock)</w:t>
            </w:r>
          </w:p>
        </w:tc>
        <w:tc>
          <w:tcPr>
            <w:tcW w:type="dxa" w:w="1440"/>
          </w:tcPr>
          <w:p>
            <w:r>
              <w:rPr>
                <w:rFonts w:ascii="Calibri" w:hAnsi="Calibri"/>
                <w:sz w:val="22"/>
              </w:rPr>
              <w:t>3,525 shares</w:t>
            </w:r>
          </w:p>
        </w:tc>
        <w:tc>
          <w:tcPr>
            <w:tcW w:type="dxa" w:w="1440"/>
          </w:tcPr>
          <w:p>
            <w:r>
              <w:rPr>
                <w:rFonts w:ascii="Calibri" w:hAnsi="Calibri"/>
                <w:sz w:val="22"/>
              </w:rPr>
              <w:t>May 20, 2026</w:t>
            </w:r>
          </w:p>
        </w:tc>
        <w:tc>
          <w:tcPr>
            <w:tcW w:type="dxa" w:w="1440"/>
          </w:tcPr>
          <w:p>
            <w:r>
              <w:rPr>
                <w:rFonts w:ascii="Calibri" w:hAnsi="Calibri"/>
                <w:sz w:val="22"/>
              </w:rPr>
              <w:t>Annual director compensation grant</w:t>
            </w:r>
          </w:p>
        </w:tc>
      </w:tr>
      <w:tr>
        <w:tc>
          <w:tcPr>
            <w:tcW w:type="dxa" w:w="1440"/>
          </w:tcPr>
          <w:p>
            <w:r>
              <w:rPr>
                <w:rFonts w:ascii="Calibri" w:hAnsi="Calibri"/>
                <w:sz w:val="22"/>
              </w:rPr>
              <w:t>Jorge S. Mesquita</w:t>
            </w:r>
          </w:p>
        </w:tc>
        <w:tc>
          <w:tcPr>
            <w:tcW w:type="dxa" w:w="1440"/>
          </w:tcPr>
          <w:p>
            <w:r>
              <w:rPr>
                <w:rFonts w:ascii="Calibri" w:hAnsi="Calibri"/>
                <w:sz w:val="22"/>
              </w:rPr>
              <w:t>Director</w:t>
            </w:r>
          </w:p>
        </w:tc>
        <w:tc>
          <w:tcPr>
            <w:tcW w:type="dxa" w:w="1440"/>
          </w:tcPr>
          <w:p>
            <w:r>
              <w:rPr>
                <w:rFonts w:ascii="Calibri" w:hAnsi="Calibri"/>
                <w:sz w:val="22"/>
              </w:rPr>
              <w:t>Award (Common Stock)</w:t>
            </w:r>
          </w:p>
        </w:tc>
        <w:tc>
          <w:tcPr>
            <w:tcW w:type="dxa" w:w="1440"/>
          </w:tcPr>
          <w:p>
            <w:r>
              <w:rPr>
                <w:rFonts w:ascii="Calibri" w:hAnsi="Calibri"/>
                <w:sz w:val="22"/>
              </w:rPr>
              <w:t>3,525 shares</w:t>
            </w:r>
          </w:p>
        </w:tc>
        <w:tc>
          <w:tcPr>
            <w:tcW w:type="dxa" w:w="1440"/>
          </w:tcPr>
          <w:p>
            <w:r>
              <w:rPr>
                <w:rFonts w:ascii="Calibri" w:hAnsi="Calibri"/>
                <w:sz w:val="22"/>
              </w:rPr>
              <w:t>May 20, 2026</w:t>
            </w:r>
          </w:p>
        </w:tc>
        <w:tc>
          <w:tcPr>
            <w:tcW w:type="dxa" w:w="1440"/>
          </w:tcPr>
          <w:p>
            <w:r>
              <w:rPr>
                <w:rFonts w:ascii="Calibri" w:hAnsi="Calibri"/>
                <w:sz w:val="22"/>
              </w:rPr>
              <w:t>Annual director compensation grant</w:t>
            </w:r>
          </w:p>
        </w:tc>
      </w:tr>
      <w:tr>
        <w:tc>
          <w:tcPr>
            <w:tcW w:type="dxa" w:w="1440"/>
          </w:tcPr>
          <w:p>
            <w:r>
              <w:rPr>
                <w:rFonts w:ascii="Calibri" w:hAnsi="Calibri"/>
                <w:sz w:val="22"/>
              </w:rPr>
              <w:t>Jane Nielsen</w:t>
            </w:r>
          </w:p>
        </w:tc>
        <w:tc>
          <w:tcPr>
            <w:tcW w:type="dxa" w:w="1440"/>
          </w:tcPr>
          <w:p>
            <w:r>
              <w:rPr>
                <w:rFonts w:ascii="Calibri" w:hAnsi="Calibri"/>
                <w:sz w:val="22"/>
              </w:rPr>
              <w:t>Director</w:t>
            </w:r>
          </w:p>
        </w:tc>
        <w:tc>
          <w:tcPr>
            <w:tcW w:type="dxa" w:w="1440"/>
          </w:tcPr>
          <w:p>
            <w:r>
              <w:rPr>
                <w:rFonts w:ascii="Calibri" w:hAnsi="Calibri"/>
                <w:sz w:val="22"/>
              </w:rPr>
              <w:t>Award (Common Stock)</w:t>
            </w:r>
          </w:p>
        </w:tc>
        <w:tc>
          <w:tcPr>
            <w:tcW w:type="dxa" w:w="1440"/>
          </w:tcPr>
          <w:p>
            <w:r>
              <w:rPr>
                <w:rFonts w:ascii="Calibri" w:hAnsi="Calibri"/>
                <w:sz w:val="22"/>
              </w:rPr>
              <w:t>3,525 shares</w:t>
            </w:r>
          </w:p>
        </w:tc>
        <w:tc>
          <w:tcPr>
            <w:tcW w:type="dxa" w:w="1440"/>
          </w:tcPr>
          <w:p>
            <w:r>
              <w:rPr>
                <w:rFonts w:ascii="Calibri" w:hAnsi="Calibri"/>
                <w:sz w:val="22"/>
              </w:rPr>
              <w:t>May 20, 2026</w:t>
            </w:r>
          </w:p>
        </w:tc>
        <w:tc>
          <w:tcPr>
            <w:tcW w:type="dxa" w:w="1440"/>
          </w:tcPr>
          <w:p>
            <w:r>
              <w:rPr>
                <w:rFonts w:ascii="Calibri" w:hAnsi="Calibri"/>
                <w:sz w:val="22"/>
              </w:rPr>
              <w:t>Annual director compensation grant</w:t>
            </w:r>
          </w:p>
        </w:tc>
      </w:tr>
      <w:tr>
        <w:tc>
          <w:tcPr>
            <w:tcW w:type="dxa" w:w="1440"/>
          </w:tcPr>
          <w:p>
            <w:r>
              <w:rPr>
                <w:rFonts w:ascii="Calibri" w:hAnsi="Calibri"/>
                <w:sz w:val="22"/>
              </w:rPr>
              <w:t>Paula A. Price</w:t>
            </w:r>
          </w:p>
        </w:tc>
        <w:tc>
          <w:tcPr>
            <w:tcW w:type="dxa" w:w="1440"/>
          </w:tcPr>
          <w:p>
            <w:r>
              <w:rPr>
                <w:rFonts w:ascii="Calibri" w:hAnsi="Calibri"/>
                <w:sz w:val="22"/>
              </w:rPr>
              <w:t>Director</w:t>
            </w:r>
          </w:p>
        </w:tc>
        <w:tc>
          <w:tcPr>
            <w:tcW w:type="dxa" w:w="1440"/>
          </w:tcPr>
          <w:p>
            <w:r>
              <w:rPr>
                <w:rFonts w:ascii="Calibri" w:hAnsi="Calibri"/>
                <w:sz w:val="22"/>
              </w:rPr>
              <w:t>Award (Common Stock)</w:t>
            </w:r>
          </w:p>
        </w:tc>
        <w:tc>
          <w:tcPr>
            <w:tcW w:type="dxa" w:w="1440"/>
          </w:tcPr>
          <w:p>
            <w:r>
              <w:rPr>
                <w:rFonts w:ascii="Calibri" w:hAnsi="Calibri"/>
                <w:sz w:val="22"/>
              </w:rPr>
              <w:t>3,525 shares</w:t>
            </w:r>
          </w:p>
        </w:tc>
        <w:tc>
          <w:tcPr>
            <w:tcW w:type="dxa" w:w="1440"/>
          </w:tcPr>
          <w:p>
            <w:r>
              <w:rPr>
                <w:rFonts w:ascii="Calibri" w:hAnsi="Calibri"/>
                <w:sz w:val="22"/>
              </w:rPr>
              <w:t>May 20, 2026</w:t>
            </w:r>
          </w:p>
        </w:tc>
        <w:tc>
          <w:tcPr>
            <w:tcW w:type="dxa" w:w="1440"/>
          </w:tcPr>
          <w:p>
            <w:r>
              <w:rPr>
                <w:rFonts w:ascii="Calibri" w:hAnsi="Calibri"/>
                <w:sz w:val="22"/>
              </w:rPr>
              <w:t>Annual director compensation grant</w:t>
            </w:r>
          </w:p>
        </w:tc>
      </w:tr>
      <w:tr>
        <w:tc>
          <w:tcPr>
            <w:tcW w:type="dxa" w:w="1440"/>
          </w:tcPr>
          <w:p>
            <w:r>
              <w:rPr>
                <w:rFonts w:ascii="Calibri" w:hAnsi="Calibri"/>
                <w:sz w:val="22"/>
              </w:rPr>
              <w:t>Patrick Siewert</w:t>
            </w:r>
          </w:p>
        </w:tc>
        <w:tc>
          <w:tcPr>
            <w:tcW w:type="dxa" w:w="1440"/>
          </w:tcPr>
          <w:p>
            <w:r>
              <w:rPr>
                <w:rFonts w:ascii="Calibri" w:hAnsi="Calibri"/>
                <w:sz w:val="22"/>
              </w:rPr>
              <w:t>Director</w:t>
            </w:r>
          </w:p>
        </w:tc>
        <w:tc>
          <w:tcPr>
            <w:tcW w:type="dxa" w:w="1440"/>
          </w:tcPr>
          <w:p>
            <w:r>
              <w:rPr>
                <w:rFonts w:ascii="Calibri" w:hAnsi="Calibri"/>
                <w:sz w:val="22"/>
              </w:rPr>
              <w:t>Award (Common Stock)</w:t>
            </w:r>
          </w:p>
        </w:tc>
        <w:tc>
          <w:tcPr>
            <w:tcW w:type="dxa" w:w="1440"/>
          </w:tcPr>
          <w:p>
            <w:r>
              <w:rPr>
                <w:rFonts w:ascii="Calibri" w:hAnsi="Calibri"/>
                <w:sz w:val="22"/>
              </w:rPr>
              <w:t>3,525 shares</w:t>
            </w:r>
          </w:p>
        </w:tc>
        <w:tc>
          <w:tcPr>
            <w:tcW w:type="dxa" w:w="1440"/>
          </w:tcPr>
          <w:p>
            <w:r>
              <w:rPr>
                <w:rFonts w:ascii="Calibri" w:hAnsi="Calibri"/>
                <w:sz w:val="22"/>
              </w:rPr>
              <w:t>May 20, 2026</w:t>
            </w:r>
          </w:p>
        </w:tc>
        <w:tc>
          <w:tcPr>
            <w:tcW w:type="dxa" w:w="1440"/>
          </w:tcPr>
          <w:p>
            <w:r>
              <w:rPr>
                <w:rFonts w:ascii="Calibri" w:hAnsi="Calibri"/>
                <w:sz w:val="22"/>
              </w:rPr>
              <w:t>Annual director compensation grant</w:t>
            </w:r>
          </w:p>
        </w:tc>
      </w:tr>
      <w:tr>
        <w:tc>
          <w:tcPr>
            <w:tcW w:type="dxa" w:w="1440"/>
          </w:tcPr>
          <w:p>
            <w:r>
              <w:rPr>
                <w:rFonts w:ascii="Calibri" w:hAnsi="Calibri"/>
                <w:sz w:val="22"/>
              </w:rPr>
              <w:t>Cees 't Hart</w:t>
            </w:r>
          </w:p>
        </w:tc>
        <w:tc>
          <w:tcPr>
            <w:tcW w:type="dxa" w:w="1440"/>
          </w:tcPr>
          <w:p>
            <w:r>
              <w:rPr>
                <w:rFonts w:ascii="Calibri" w:hAnsi="Calibri"/>
                <w:sz w:val="22"/>
              </w:rPr>
              <w:t>Director</w:t>
            </w:r>
          </w:p>
        </w:tc>
        <w:tc>
          <w:tcPr>
            <w:tcW w:type="dxa" w:w="1440"/>
          </w:tcPr>
          <w:p>
            <w:r>
              <w:rPr>
                <w:rFonts w:ascii="Calibri" w:hAnsi="Calibri"/>
                <w:sz w:val="22"/>
              </w:rPr>
              <w:t>Award (Common Stock)</w:t>
            </w:r>
          </w:p>
        </w:tc>
        <w:tc>
          <w:tcPr>
            <w:tcW w:type="dxa" w:w="1440"/>
          </w:tcPr>
          <w:p>
            <w:r>
              <w:rPr>
                <w:rFonts w:ascii="Calibri" w:hAnsi="Calibri"/>
                <w:sz w:val="22"/>
              </w:rPr>
              <w:t>3,525 shares</w:t>
            </w:r>
          </w:p>
        </w:tc>
        <w:tc>
          <w:tcPr>
            <w:tcW w:type="dxa" w:w="1440"/>
          </w:tcPr>
          <w:p>
            <w:r>
              <w:rPr>
                <w:rFonts w:ascii="Calibri" w:hAnsi="Calibri"/>
                <w:sz w:val="22"/>
              </w:rPr>
              <w:t>May 20, 2026</w:t>
            </w:r>
          </w:p>
        </w:tc>
        <w:tc>
          <w:tcPr>
            <w:tcW w:type="dxa" w:w="1440"/>
          </w:tcPr>
          <w:p>
            <w:r>
              <w:rPr>
                <w:rFonts w:ascii="Calibri" w:hAnsi="Calibri"/>
                <w:sz w:val="22"/>
              </w:rPr>
              <w:t>Annual director compensation grant</w:t>
            </w:r>
          </w:p>
        </w:tc>
      </w:tr>
      <w:tr>
        <w:tc>
          <w:tcPr>
            <w:tcW w:type="dxa" w:w="1440"/>
          </w:tcPr>
          <w:p>
            <w:r>
              <w:rPr>
                <w:rFonts w:ascii="Calibri" w:hAnsi="Calibri"/>
                <w:sz w:val="22"/>
              </w:rPr>
              <w:t>Michael Todman</w:t>
            </w:r>
          </w:p>
        </w:tc>
        <w:tc>
          <w:tcPr>
            <w:tcW w:type="dxa" w:w="1440"/>
          </w:tcPr>
          <w:p>
            <w:r>
              <w:rPr>
                <w:rFonts w:ascii="Calibri" w:hAnsi="Calibri"/>
                <w:sz w:val="22"/>
              </w:rPr>
              <w:t>Director</w:t>
            </w:r>
          </w:p>
        </w:tc>
        <w:tc>
          <w:tcPr>
            <w:tcW w:type="dxa" w:w="1440"/>
          </w:tcPr>
          <w:p>
            <w:r>
              <w:rPr>
                <w:rFonts w:ascii="Calibri" w:hAnsi="Calibri"/>
                <w:sz w:val="22"/>
              </w:rPr>
              <w:t>Award (Common Stock)</w:t>
            </w:r>
          </w:p>
        </w:tc>
        <w:tc>
          <w:tcPr>
            <w:tcW w:type="dxa" w:w="1440"/>
          </w:tcPr>
          <w:p>
            <w:r>
              <w:rPr>
                <w:rFonts w:ascii="Calibri" w:hAnsi="Calibri"/>
                <w:sz w:val="22"/>
              </w:rPr>
              <w:t>3,525 shares</w:t>
            </w:r>
          </w:p>
        </w:tc>
        <w:tc>
          <w:tcPr>
            <w:tcW w:type="dxa" w:w="1440"/>
          </w:tcPr>
          <w:p>
            <w:r>
              <w:rPr>
                <w:rFonts w:ascii="Calibri" w:hAnsi="Calibri"/>
                <w:sz w:val="22"/>
              </w:rPr>
              <w:t>May 20, 2026</w:t>
            </w:r>
          </w:p>
        </w:tc>
        <w:tc>
          <w:tcPr>
            <w:tcW w:type="dxa" w:w="1440"/>
          </w:tcPr>
          <w:p>
            <w:r>
              <w:rPr>
                <w:rFonts w:ascii="Calibri" w:hAnsi="Calibri"/>
                <w:sz w:val="22"/>
              </w:rPr>
              <w:t>Annual director compensation grant</w:t>
            </w:r>
          </w:p>
        </w:tc>
      </w:tr>
      <w:tr>
        <w:tc>
          <w:tcPr>
            <w:tcW w:type="dxa" w:w="1440"/>
          </w:tcPr>
          <w:p>
            <w:r>
              <w:rPr>
                <w:rFonts w:ascii="Calibri" w:hAnsi="Calibri"/>
                <w:sz w:val="22"/>
              </w:rPr>
              <w:t>Brian Stevens</w:t>
            </w:r>
          </w:p>
        </w:tc>
        <w:tc>
          <w:tcPr>
            <w:tcW w:type="dxa" w:w="1440"/>
          </w:tcPr>
          <w:p>
            <w:r>
              <w:rPr>
                <w:rFonts w:ascii="Calibri" w:hAnsi="Calibri"/>
                <w:sz w:val="22"/>
              </w:rPr>
              <w:t>SVP, CTR &amp; Chief Accounting Officer</w:t>
            </w:r>
          </w:p>
        </w:tc>
        <w:tc>
          <w:tcPr>
            <w:tcW w:type="dxa" w:w="1440"/>
          </w:tcPr>
          <w:p>
            <w:r>
              <w:rPr>
                <w:rFonts w:ascii="Calibri" w:hAnsi="Calibri"/>
                <w:sz w:val="22"/>
              </w:rPr>
              <w:t>Open Market Sale (Trust)</w:t>
            </w:r>
          </w:p>
        </w:tc>
        <w:tc>
          <w:tcPr>
            <w:tcW w:type="dxa" w:w="1440"/>
          </w:tcPr>
          <w:p>
            <w:r>
              <w:rPr>
                <w:rFonts w:ascii="Calibri" w:hAnsi="Calibri"/>
                <w:sz w:val="22"/>
              </w:rPr>
              <w:t>63 shares (trust) + 1 share (trust)</w:t>
            </w:r>
          </w:p>
        </w:tc>
        <w:tc>
          <w:tcPr>
            <w:tcW w:type="dxa" w:w="1440"/>
          </w:tcPr>
          <w:p>
            <w:r>
              <w:rPr>
                <w:rFonts w:ascii="Calibri" w:hAnsi="Calibri"/>
                <w:sz w:val="22"/>
              </w:rPr>
              <w:t>Apr 30 – May 1, 2026</w:t>
            </w:r>
          </w:p>
        </w:tc>
        <w:tc>
          <w:tcPr>
            <w:tcW w:type="dxa" w:w="1440"/>
          </w:tcPr>
          <w:p>
            <w:r>
              <w:rPr>
                <w:rFonts w:ascii="Calibri" w:hAnsi="Calibri"/>
                <w:sz w:val="22"/>
              </w:rPr>
              <w:t>Small trust-level sales; de minimis in size; not a discretionary insider sell signal</w:t>
            </w:r>
          </w:p>
        </w:tc>
      </w:tr>
    </w:tbl>
    <w:p>
      <w:r>
        <w:rPr>
          <w:rFonts w:ascii="Calibri" w:hAnsi="Calibri"/>
          <w:color w:val="525866"/>
          <w:sz w:val="22"/>
        </w:rPr>
        <w:t>All transactions since the Q1 2026 earnings date (April 28, 2026) are compensation-related awards (code A) or de minimis trust-level sales. There are no open-market purchases (code P) or discretionary open-market sales (code S) by executives. The nine director grants on May 20 are routine annual compensation. The CFO's July 1 award (122,210 options + 20,370 shares) is a standard long-term incentive grant. The absence of any discretionary selling by management or directors heading into Q2 earnings is a mild positive signal — insiders are not reducing exposure despite the stock trading near the top of its recent range.</w:t>
      </w:r>
    </w:p>
    <w:p>
      <w:r>
        <w:rPr>
          <w:rFonts w:ascii="Calibri" w:hAnsi="Calibri"/>
          <w:i/>
          <w:color w:val="525866"/>
          <w:sz w:val="22"/>
        </w:rPr>
        <w:t>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