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dlz-earnings-predictions--2026-07-28"/>
    <w:p>
      <w:pPr>
        <w:pStyle w:val="Heading1"/>
      </w:pPr>
      <w:r>
        <w:t xml:space="preserve">MDLZ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MDLZ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Net Revenue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~0.9% vs. cons 0.75%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MDLZ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Volume/mix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~-1.0% vs. cons -1.24%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MDLZ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~$0.690 vs. cons $0.679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MDLZ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Organic Net Revenue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~0%–2% vs. cons 1.74%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MDLZ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 Growth, CC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~0%–5% vs. cons ~0%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MDLZ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volume/tone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~sequential improvement but soft U.S. vs. cons +0.62% volume/mix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MDLZ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MDLZ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+1.5% (STABILIZE)</w:t>
            </w:r>
          </w:p>
        </w:tc>
        <w:tc>
          <w:tcPr/>
          <w:p>
            <w:pPr>
              <w:pStyle w:val="Compact"/>
            </w:pPr>
            <w:r>
              <w:t xml:space="preserve">STABILIZE — modest beat is offset by a maintained FY outlook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2026-07-31T02:08:54Z</dcterms:created>
  <dcterms:modified xsi:type="dcterms:W3CDTF">2026-07-31T02:08:54Z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