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Mondelēz International (MDLZ)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Mondelēz International, Inc.</w:t>
            </w:r>
          </w:p>
        </w:tc>
      </w:tr>
      <w:tr>
        <w:tc>
          <w:tcPr>
            <w:tcW w:type="dxa" w:w="4320"/>
          </w:tcPr>
          <w:p>
            <w:r>
              <w:rPr>
                <w:rFonts w:ascii="Calibri" w:hAnsi="Calibri"/>
                <w:b/>
                <w:sz w:val="22"/>
              </w:rPr>
              <w:t>Ticker</w:t>
            </w:r>
          </w:p>
        </w:tc>
        <w:tc>
          <w:tcPr>
            <w:tcW w:type="dxa" w:w="4320"/>
          </w:tcPr>
          <w:p>
            <w:r>
              <w:rPr>
                <w:rFonts w:ascii="Calibri" w:hAnsi="Calibri"/>
                <w:sz w:val="22"/>
              </w:rPr>
              <w:t>MDLZ (Nasdaq)</w:t>
            </w:r>
          </w:p>
        </w:tc>
      </w:tr>
      <w:tr>
        <w:tc>
          <w:tcPr>
            <w:tcW w:type="dxa" w:w="4320"/>
          </w:tcPr>
          <w:p>
            <w:r>
              <w:rPr>
                <w:rFonts w:ascii="Calibri" w:hAnsi="Calibri"/>
                <w:b/>
                <w:sz w:val="22"/>
              </w:rPr>
              <w:t>Upcoming Earnings Date</w:t>
            </w:r>
          </w:p>
        </w:tc>
        <w:tc>
          <w:tcPr>
            <w:tcW w:type="dxa" w:w="4320"/>
          </w:tcPr>
          <w:p>
            <w:r>
              <w:rPr>
                <w:rFonts w:ascii="Calibri" w:hAnsi="Calibri"/>
                <w:sz w:val="22"/>
              </w:rPr>
              <w:t>July 28, 2026 (After U.S.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 Date</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XLP (Consumer Staples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is a modest beat or in-line print, with the single biggest swing factor being whether </w:t>
      </w:r>
      <w:r>
        <w:rPr>
          <w:rFonts w:ascii="Calibri" w:hAnsi="Calibri"/>
          <w:b/>
          <w:color w:val="525866"/>
          <w:sz w:val="22"/>
        </w:rPr>
        <w:t>emerging markets organic growth</w:t>
      </w:r>
      <w:r>
        <w:rPr>
          <w:rFonts w:ascii="Calibri" w:hAnsi="Calibri"/>
          <w:color w:val="525866"/>
          <w:sz w:val="22"/>
        </w:rPr>
        <w:t xml:space="preserve"> can again outperform the Street’s cautious +1% consolidated organic revenue estimate and whether </w:t>
      </w:r>
      <w:r>
        <w:rPr>
          <w:rFonts w:ascii="Calibri" w:hAnsi="Calibri"/>
          <w:b/>
          <w:color w:val="525866"/>
          <w:sz w:val="22"/>
        </w:rPr>
        <w:t>adjusted gross margin</w:t>
      </w:r>
      <w:r>
        <w:rPr>
          <w:rFonts w:ascii="Calibri" w:hAnsi="Calibri"/>
          <w:color w:val="525866"/>
          <w:sz w:val="22"/>
        </w:rPr>
        <w:t xml:space="preserve"> holds up better than feared despite elevated cocoa inventory costs still flowing through the P&amp;L.</w:t>
      </w:r>
    </w:p>
    <w:p>
      <w:r>
        <w:rPr>
          <w:rFonts w:ascii="Calibri" w:hAnsi="Calibri"/>
          <w:color w:val="525866"/>
          <w:sz w:val="22"/>
        </w:rPr>
        <w:t xml:space="preserve">Heading into Q2 2026, the bar for MDLZ is deliberately low: consensus sits at just </w:t>
      </w:r>
      <w:r>
        <w:rPr>
          <w:rFonts w:ascii="Calibri" w:hAnsi="Calibri"/>
          <w:b/>
          <w:color w:val="525866"/>
          <w:sz w:val="22"/>
        </w:rPr>
        <w:t>+0.75% organic revenue growth</w:t>
      </w:r>
      <w:r>
        <w:rPr>
          <w:rFonts w:ascii="Calibri" w:hAnsi="Calibri"/>
          <w:color w:val="525866"/>
          <w:sz w:val="22"/>
        </w:rPr>
        <w:t xml:space="preserve"> and </w:t>
      </w:r>
      <w:r>
        <w:rPr>
          <w:rFonts w:ascii="Calibri" w:hAnsi="Calibri"/>
          <w:b/>
          <w:color w:val="525866"/>
          <w:sz w:val="22"/>
        </w:rPr>
        <w:t>adjusted EPS of $0.68</w:t>
      </w:r>
      <w:r>
        <w:rPr>
          <w:rFonts w:ascii="Calibri" w:hAnsi="Calibri"/>
          <w:color w:val="525866"/>
          <w:sz w:val="22"/>
        </w:rPr>
        <w:t xml:space="preserve">, both of which management effectively set at Q1 earnings when it reaffirmed full-year guidance of flat-to-2% organic growth and flat-to-5% adjusted EPS growth on a constant-currency basis. Management’s posture has been cautiously constructive — acknowledging Middle East conflict-related cost headwinds (alternative routing, energy, packaging in unhedged markets) while expressing confidence in sequential volume improvement through the year; the June CFO transition (Amit Banati replacing Luca Zaramella, effective July 1) introduces a modest wildcard on tone but is unlikely to alter near-term guidance. Estimate revisions have drifted modestly lower since Q1 earnings — the Q2 EPS consensus has slipped from $0.678 to $0.679 (essentially flat) while the FY2026 EPS consensus has edged down slightly — suggesting the Street has already absorbed the Middle East headwind and is not pricing in incremental risk. The stock has underperformed XLP and the S&amp;P 500 over the trailing twelve months (down ~14% vs. the market), but has recovered modestly since Q1 earnings, trading at roughly </w:t>
      </w:r>
      <w:r>
        <w:rPr>
          <w:rFonts w:ascii="Calibri" w:hAnsi="Calibri"/>
          <w:b/>
          <w:color w:val="525866"/>
          <w:sz w:val="22"/>
        </w:rPr>
        <w:t>18.8x NTM P/E</w:t>
      </w:r>
      <w:r>
        <w:rPr>
          <w:rFonts w:ascii="Calibri" w:hAnsi="Calibri"/>
          <w:color w:val="525866"/>
          <w:sz w:val="22"/>
        </w:rPr>
        <w:t xml:space="preserve"> — a compressed multiple that leaves room for re-rating if management can demonstrate volume inflection in North America and sustained emerging markets momentum. The key wildcard is </w:t>
      </w:r>
      <w:r>
        <w:rPr>
          <w:rFonts w:ascii="Calibri" w:hAnsi="Calibri"/>
          <w:b/>
          <w:color w:val="525866"/>
          <w:sz w:val="22"/>
        </w:rPr>
        <w:t>cocoa cost phasing</w:t>
      </w:r>
      <w:r>
        <w:rPr>
          <w:rFonts w:ascii="Calibri" w:hAnsi="Calibri"/>
          <w:color w:val="525866"/>
          <w:sz w:val="22"/>
        </w:rPr>
        <w:t>: Q1 absorbed a ~$350M+ headwind from high-cost inventory, and any signal that Q2 headwinds are moderating faster than expected — consistent with Nestlé’s commentary that lower cocoa costs will benefit H2 P&amp;Ls — could be the catalyst for a meaningful guidance raise and stock re-rating.</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w:t>
      </w:r>
      <w:r>
        <w:rPr>
          <w:rFonts w:ascii="Calibri" w:hAnsi="Calibri"/>
          <w:color w:val="525866"/>
          <w:sz w:val="22"/>
        </w:rPr>
        <w:t xml:space="preserve"> heading into Q2 — the Street is modeling only +0.75% organic revenue growth and $0.68 adjusted EPS, both well within the full-year guidance range. </w:t>
      </w:r>
      <w:r>
        <w:rPr>
          <w:rFonts w:ascii="Calibri" w:hAnsi="Calibri"/>
          <w:b/>
          <w:color w:val="525866"/>
          <w:sz w:val="22"/>
        </w:rPr>
        <w:t>Organic revenue growth</w:t>
      </w:r>
      <w:r>
        <w:rPr>
          <w:rFonts w:ascii="Calibri" w:hAnsi="Calibri"/>
          <w:color w:val="525866"/>
          <w:sz w:val="22"/>
        </w:rPr>
        <w:t xml:space="preserve"> is the bigger swing factor: emerging markets have consistently surprised to the upside, and any acceleration in North America volume (which showed a positive inflection in March) could push the consolidated number meaningfully above the +1% consensus.</w:t>
      </w:r>
    </w:p>
    <w:p>
      <w:pPr>
        <w:pStyle w:val="Heading2"/>
      </w:pPr>
      <w:r>
        <w:rPr>
          <w:rFonts w:ascii="Calibri" w:hAnsi="Calibri"/>
          <w:b/>
          <w:color w:val="3B4259"/>
          <w:sz w:val="28"/>
        </w:rPr>
        <w:t>Table 1 — Current Quarter Snapshot (Q2 2026,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Revenues ($B)</w:t>
            </w:r>
          </w:p>
        </w:tc>
        <w:tc>
          <w:tcPr>
            <w:tcW w:type="dxa" w:w="1234"/>
          </w:tcPr>
          <w:p>
            <w:r>
              <w:rPr>
                <w:rFonts w:ascii="Calibri" w:hAnsi="Calibri"/>
                <w:sz w:val="22"/>
              </w:rPr>
              <w:t>$10.08B</w:t>
            </w:r>
          </w:p>
        </w:tc>
        <w:tc>
          <w:tcPr>
            <w:tcW w:type="dxa" w:w="1234"/>
          </w:tcPr>
          <w:p>
            <w:r>
              <w:rPr>
                <w:rFonts w:ascii="Calibri" w:hAnsi="Calibri"/>
                <w:sz w:val="22"/>
              </w:rPr>
              <w:t>$8.98B</w:t>
            </w:r>
          </w:p>
        </w:tc>
        <w:tc>
          <w:tcPr>
            <w:tcW w:type="dxa" w:w="1234"/>
          </w:tcPr>
          <w:p>
            <w:r>
              <w:rPr>
                <w:rFonts w:ascii="Calibri" w:hAnsi="Calibri"/>
                <w:sz w:val="22"/>
              </w:rPr>
              <w:t>$9.23B</w:t>
            </w:r>
          </w:p>
        </w:tc>
        <w:tc>
          <w:tcPr>
            <w:tcW w:type="dxa" w:w="1234"/>
          </w:tcPr>
          <w:p>
            <w:r>
              <w:rPr>
                <w:rFonts w:ascii="Calibri" w:hAnsi="Calibri"/>
                <w:sz w:val="22"/>
              </w:rPr>
              <w:t>+2.7%</w:t>
            </w:r>
          </w:p>
        </w:tc>
        <w:tc>
          <w:tcPr>
            <w:tcW w:type="dxa" w:w="1234"/>
          </w:tcPr>
          <w:p>
            <w:r>
              <w:rPr>
                <w:rFonts w:ascii="Calibri" w:hAnsi="Calibri"/>
                <w:sz w:val="22"/>
              </w:rPr>
              <w:t>~$39.9–40.1B (FY)</w:t>
            </w:r>
          </w:p>
        </w:tc>
        <w:tc>
          <w:tcPr>
            <w:tcW w:type="dxa" w:w="1234"/>
          </w:tcPr>
          <w:p>
            <w:r>
              <w:rPr>
                <w:rFonts w:ascii="Calibri" w:hAnsi="Calibri"/>
                <w:sz w:val="22"/>
              </w:rPr>
              <w:t>In line with FY range</w:t>
            </w:r>
          </w:p>
        </w:tc>
      </w:tr>
      <w:tr>
        <w:tc>
          <w:tcPr>
            <w:tcW w:type="dxa" w:w="1234"/>
          </w:tcPr>
          <w:p>
            <w:r>
              <w:rPr>
                <w:rFonts w:ascii="Calibri" w:hAnsi="Calibri"/>
                <w:sz w:val="22"/>
              </w:rPr>
              <w:t>Organic Revenue Growth (%)</w:t>
            </w:r>
          </w:p>
        </w:tc>
        <w:tc>
          <w:tcPr>
            <w:tcW w:type="dxa" w:w="1234"/>
          </w:tcPr>
          <w:p>
            <w:r>
              <w:rPr>
                <w:rFonts w:ascii="Calibri" w:hAnsi="Calibri"/>
                <w:sz w:val="22"/>
              </w:rPr>
              <w:t>+3.0%</w:t>
            </w:r>
          </w:p>
        </w:tc>
        <w:tc>
          <w:tcPr>
            <w:tcW w:type="dxa" w:w="1234"/>
          </w:tcPr>
          <w:p>
            <w:r>
              <w:rPr>
                <w:rFonts w:ascii="Calibri" w:hAnsi="Calibri"/>
                <w:sz w:val="22"/>
              </w:rPr>
              <w:t>+5.6%</w:t>
            </w:r>
          </w:p>
        </w:tc>
        <w:tc>
          <w:tcPr>
            <w:tcW w:type="dxa" w:w="1234"/>
          </w:tcPr>
          <w:p>
            <w:r>
              <w:rPr>
                <w:rFonts w:ascii="Calibri" w:hAnsi="Calibri"/>
                <w:sz w:val="22"/>
              </w:rPr>
              <w:t>+0.75%</w:t>
            </w:r>
          </w:p>
        </w:tc>
        <w:tc>
          <w:tcPr>
            <w:tcW w:type="dxa" w:w="1234"/>
          </w:tcPr>
          <w:p>
            <w:r>
              <w:rPr>
                <w:rFonts w:ascii="Calibri" w:hAnsi="Calibri"/>
                <w:sz w:val="22"/>
              </w:rPr>
              <w:t>−24.8pp vs. PY</w:t>
            </w:r>
          </w:p>
        </w:tc>
        <w:tc>
          <w:tcPr>
            <w:tcW w:type="dxa" w:w="1234"/>
          </w:tcPr>
          <w:p>
            <w:r>
              <w:rPr>
                <w:rFonts w:ascii="Calibri" w:hAnsi="Calibri"/>
                <w:sz w:val="22"/>
              </w:rPr>
              <w:t>Flat to +2%</w:t>
            </w:r>
          </w:p>
        </w:tc>
        <w:tc>
          <w:tcPr>
            <w:tcW w:type="dxa" w:w="1234"/>
          </w:tcPr>
          <w:p>
            <w:r>
              <w:rPr>
                <w:rFonts w:ascii="Calibri" w:hAnsi="Calibri"/>
                <w:sz w:val="22"/>
              </w:rPr>
              <w:t>~−24bp below midpoint (+1%)</w:t>
            </w:r>
          </w:p>
        </w:tc>
      </w:tr>
      <w:tr>
        <w:tc>
          <w:tcPr>
            <w:tcW w:type="dxa" w:w="1234"/>
          </w:tcPr>
          <w:p>
            <w:r>
              <w:rPr>
                <w:rFonts w:ascii="Calibri" w:hAnsi="Calibri"/>
                <w:sz w:val="22"/>
              </w:rPr>
              <w:t>Volume/Mix (%)</w:t>
            </w:r>
          </w:p>
        </w:tc>
        <w:tc>
          <w:tcPr>
            <w:tcW w:type="dxa" w:w="1234"/>
          </w:tcPr>
          <w:p>
            <w:r>
              <w:rPr>
                <w:rFonts w:ascii="Calibri" w:hAnsi="Calibri"/>
                <w:sz w:val="22"/>
              </w:rPr>
              <w:t>−0.5%</w:t>
            </w:r>
          </w:p>
        </w:tc>
        <w:tc>
          <w:tcPr>
            <w:tcW w:type="dxa" w:w="1234"/>
          </w:tcPr>
          <w:p>
            <w:r>
              <w:rPr>
                <w:rFonts w:ascii="Calibri" w:hAnsi="Calibri"/>
                <w:sz w:val="22"/>
              </w:rPr>
              <w:t>−1.5%</w:t>
            </w:r>
          </w:p>
        </w:tc>
        <w:tc>
          <w:tcPr>
            <w:tcW w:type="dxa" w:w="1234"/>
          </w:tcPr>
          <w:p>
            <w:r>
              <w:rPr>
                <w:rFonts w:ascii="Calibri" w:hAnsi="Calibri"/>
                <w:sz w:val="22"/>
              </w:rPr>
              <w:t>−1.2%</w:t>
            </w:r>
          </w:p>
        </w:tc>
        <w:tc>
          <w:tcPr>
            <w:tcW w:type="dxa" w:w="1234"/>
          </w:tcPr>
          <w:p>
            <w:r>
              <w:rPr>
                <w:rFonts w:ascii="Calibri" w:hAnsi="Calibri"/>
                <w:sz w:val="22"/>
              </w:rPr>
              <w:t>Slight improvement YoY</w:t>
            </w:r>
          </w:p>
        </w:tc>
        <w:tc>
          <w:tcPr>
            <w:tcW w:type="dxa" w:w="1234"/>
          </w:tcPr>
          <w:p>
            <w:r>
              <w:rPr>
                <w:rFonts w:ascii="Calibri" w:hAnsi="Calibri"/>
                <w:sz w:val="22"/>
              </w:rPr>
              <w:t>Sequential improvement targeted</w:t>
            </w:r>
          </w:p>
        </w:tc>
        <w:tc>
          <w:tcPr>
            <w:tcW w:type="dxa" w:w="1234"/>
          </w:tcPr>
          <w:p>
            <w:r>
              <w:rPr>
                <w:rFonts w:ascii="Calibri" w:hAnsi="Calibri"/>
                <w:sz w:val="22"/>
              </w:rPr>
              <w:t>N/A (no explicit quarterly guidance)</w:t>
            </w:r>
          </w:p>
        </w:tc>
      </w:tr>
      <w:tr>
        <w:tc>
          <w:tcPr>
            <w:tcW w:type="dxa" w:w="1234"/>
          </w:tcPr>
          <w:p>
            <w:r>
              <w:rPr>
                <w:rFonts w:ascii="Calibri" w:hAnsi="Calibri"/>
                <w:sz w:val="22"/>
              </w:rPr>
              <w:t>Adjusted EPS (Diluted, Operating)</w:t>
            </w:r>
          </w:p>
        </w:tc>
        <w:tc>
          <w:tcPr>
            <w:tcW w:type="dxa" w:w="1234"/>
          </w:tcPr>
          <w:p>
            <w:r>
              <w:rPr>
                <w:rFonts w:ascii="Calibri" w:hAnsi="Calibri"/>
                <w:sz w:val="22"/>
              </w:rPr>
              <w:t>$0.67</w:t>
            </w:r>
          </w:p>
        </w:tc>
        <w:tc>
          <w:tcPr>
            <w:tcW w:type="dxa" w:w="1234"/>
          </w:tcPr>
          <w:p>
            <w:r>
              <w:rPr>
                <w:rFonts w:ascii="Calibri" w:hAnsi="Calibri"/>
                <w:sz w:val="22"/>
              </w:rPr>
              <w:t>$0.73</w:t>
            </w:r>
          </w:p>
        </w:tc>
        <w:tc>
          <w:tcPr>
            <w:tcW w:type="dxa" w:w="1234"/>
          </w:tcPr>
          <w:p>
            <w:r>
              <w:rPr>
                <w:rFonts w:ascii="Calibri" w:hAnsi="Calibri"/>
                <w:sz w:val="22"/>
              </w:rPr>
              <w:t>$0.68</w:t>
            </w:r>
          </w:p>
        </w:tc>
        <w:tc>
          <w:tcPr>
            <w:tcW w:type="dxa" w:w="1234"/>
          </w:tcPr>
          <w:p>
            <w:r>
              <w:rPr>
                <w:rFonts w:ascii="Calibri" w:hAnsi="Calibri"/>
                <w:sz w:val="22"/>
              </w:rPr>
              <w:t>−6.8%</w:t>
            </w:r>
          </w:p>
        </w:tc>
        <w:tc>
          <w:tcPr>
            <w:tcW w:type="dxa" w:w="1234"/>
          </w:tcPr>
          <w:p>
            <w:r>
              <w:rPr>
                <w:rFonts w:ascii="Calibri" w:hAnsi="Calibri"/>
                <w:sz w:val="22"/>
              </w:rPr>
              <w:t>Flat to +5% CC (FY)</w:t>
            </w:r>
          </w:p>
        </w:tc>
        <w:tc>
          <w:tcPr>
            <w:tcW w:type="dxa" w:w="1234"/>
          </w:tcPr>
          <w:p>
            <w:r>
              <w:rPr>
                <w:rFonts w:ascii="Calibri" w:hAnsi="Calibri"/>
                <w:sz w:val="22"/>
              </w:rPr>
              <w:t>Tracking low end of FY range</w:t>
            </w:r>
          </w:p>
        </w:tc>
      </w:tr>
      <w:tr>
        <w:tc>
          <w:tcPr>
            <w:tcW w:type="dxa" w:w="1234"/>
          </w:tcPr>
          <w:p>
            <w:r>
              <w:rPr>
                <w:rFonts w:ascii="Calibri" w:hAnsi="Calibri"/>
                <w:sz w:val="22"/>
              </w:rPr>
              <w:t>Adj. Gross Profit ($B)</w:t>
            </w:r>
          </w:p>
        </w:tc>
        <w:tc>
          <w:tcPr>
            <w:tcW w:type="dxa" w:w="1234"/>
          </w:tcPr>
          <w:p>
            <w:r>
              <w:rPr>
                <w:rFonts w:ascii="Calibri" w:hAnsi="Calibri"/>
                <w:sz w:val="22"/>
              </w:rPr>
              <w:t>$3.09B</w:t>
            </w:r>
          </w:p>
        </w:tc>
        <w:tc>
          <w:tcPr>
            <w:tcW w:type="dxa" w:w="1234"/>
          </w:tcPr>
          <w:p>
            <w:r>
              <w:rPr>
                <w:rFonts w:ascii="Calibri" w:hAnsi="Calibri"/>
                <w:sz w:val="22"/>
              </w:rPr>
              <w:t>$3.03B</w:t>
            </w:r>
          </w:p>
        </w:tc>
        <w:tc>
          <w:tcPr>
            <w:tcW w:type="dxa" w:w="1234"/>
          </w:tcPr>
          <w:p>
            <w:r>
              <w:rPr>
                <w:rFonts w:ascii="Calibri" w:hAnsi="Calibri"/>
                <w:sz w:val="22"/>
              </w:rPr>
              <w:t>$3.02B</w:t>
            </w:r>
          </w:p>
        </w:tc>
        <w:tc>
          <w:tcPr>
            <w:tcW w:type="dxa" w:w="1234"/>
          </w:tcPr>
          <w:p>
            <w:r>
              <w:rPr>
                <w:rFonts w:ascii="Calibri" w:hAnsi="Calibri"/>
                <w:sz w:val="22"/>
              </w:rPr>
              <w:t>−0.3%</w:t>
            </w:r>
          </w:p>
        </w:tc>
        <w:tc>
          <w:tcPr>
            <w:tcW w:type="dxa" w:w="1234"/>
          </w:tcPr>
          <w:p>
            <w:r>
              <w:rPr>
                <w:rFonts w:ascii="Calibri" w:hAnsi="Calibri"/>
                <w:sz w:val="22"/>
              </w:rPr>
              <w:t>N/A (no explicit quarterly guidance)</w:t>
            </w:r>
          </w:p>
        </w:tc>
        <w:tc>
          <w:tcPr>
            <w:tcW w:type="dxa" w:w="1234"/>
          </w:tcPr>
          <w:p>
            <w:r>
              <w:rPr>
                <w:rFonts w:ascii="Calibri" w:hAnsi="Calibri"/>
                <w:sz w:val="22"/>
              </w:rPr>
              <w:t>N/A</w:t>
            </w:r>
          </w:p>
        </w:tc>
      </w:tr>
    </w:tbl>
    <w:p>
      <w:r>
        <w:rPr>
          <w:rFonts w:ascii="Calibri" w:hAnsi="Calibri"/>
          <w:i/>
          <w:color w:val="525866"/>
          <w:sz w:val="22"/>
        </w:rPr>
        <w:t xml:space="preserve">Sources: </w:t>
      </w:r>
      <w:r>
        <w:rPr>
          <w:rFonts w:ascii="Calibri" w:hAnsi="Calibri"/>
          <w:i/>
          <w:color w:val="525866"/>
          <w:sz w:val="22"/>
        </w:rPr>
        <w:t>Net revenues, Organic growth (%), Volume/mix (%), EPS Diluted-operating ($), Gross profit/(loss)-operating — Visible Alpha Consensus and Actuals Data. FY2026 guidance from Q1 2026 earnings release (April 28,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Organic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+3.0%</w:t>
            </w:r>
          </w:p>
        </w:tc>
        <w:tc>
          <w:tcPr>
            <w:tcW w:type="dxa" w:w="1728"/>
          </w:tcPr>
          <w:p>
            <w:r>
              <w:rPr>
                <w:rFonts w:ascii="Calibri" w:hAnsi="Calibri"/>
                <w:sz w:val="22"/>
              </w:rPr>
              <w:t>+0.6%</w:t>
            </w:r>
          </w:p>
        </w:tc>
        <w:tc>
          <w:tcPr>
            <w:tcW w:type="dxa" w:w="1728"/>
          </w:tcPr>
          <w:p>
            <w:r>
              <w:rPr>
                <w:rFonts w:ascii="Calibri" w:hAnsi="Calibri"/>
                <w:b/>
                <w:color w:val="30A46C"/>
                <w:sz w:val="22"/>
              </w:rPr>
              <w:t>+2.4pp</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+5.1%</w:t>
            </w:r>
          </w:p>
        </w:tc>
        <w:tc>
          <w:tcPr>
            <w:tcW w:type="dxa" w:w="1728"/>
          </w:tcPr>
          <w:p>
            <w:r>
              <w:rPr>
                <w:rFonts w:ascii="Calibri" w:hAnsi="Calibri"/>
                <w:sz w:val="22"/>
              </w:rPr>
              <w:t>+4.2%</w:t>
            </w:r>
          </w:p>
        </w:tc>
        <w:tc>
          <w:tcPr>
            <w:tcW w:type="dxa" w:w="1728"/>
          </w:tcPr>
          <w:p>
            <w:r>
              <w:rPr>
                <w:rFonts w:ascii="Calibri" w:hAnsi="Calibri"/>
                <w:b/>
                <w:color w:val="30A46C"/>
                <w:sz w:val="22"/>
              </w:rPr>
              <w:t>+0.9pp</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+3.4%</w:t>
            </w:r>
          </w:p>
        </w:tc>
        <w:tc>
          <w:tcPr>
            <w:tcW w:type="dxa" w:w="1728"/>
          </w:tcPr>
          <w:p>
            <w:r>
              <w:rPr>
                <w:rFonts w:ascii="Calibri" w:hAnsi="Calibri"/>
                <w:sz w:val="22"/>
              </w:rPr>
              <w:t>+3.7%</w:t>
            </w:r>
          </w:p>
        </w:tc>
        <w:tc>
          <w:tcPr>
            <w:tcW w:type="dxa" w:w="1728"/>
          </w:tcPr>
          <w:p>
            <w:r>
              <w:rPr>
                <w:rFonts w:ascii="Calibri" w:hAnsi="Calibri"/>
                <w:b/>
                <w:color w:val="E5484D"/>
                <w:sz w:val="22"/>
              </w:rPr>
              <w:t>−0.3pp</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+5.6%</w:t>
            </w:r>
          </w:p>
        </w:tc>
        <w:tc>
          <w:tcPr>
            <w:tcW w:type="dxa" w:w="1728"/>
          </w:tcPr>
          <w:p>
            <w:r>
              <w:rPr>
                <w:rFonts w:ascii="Calibri" w:hAnsi="Calibri"/>
                <w:sz w:val="22"/>
              </w:rPr>
              <w:t>+5.6%</w:t>
            </w:r>
          </w:p>
        </w:tc>
        <w:tc>
          <w:tcPr>
            <w:tcW w:type="dxa" w:w="1728"/>
          </w:tcPr>
          <w:p>
            <w:r>
              <w:rPr>
                <w:rFonts w:ascii="Calibri" w:hAnsi="Calibri"/>
                <w:sz w:val="22"/>
              </w:rPr>
              <w:t>0.0pp</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+3.1%</w:t>
            </w:r>
          </w:p>
        </w:tc>
        <w:tc>
          <w:tcPr>
            <w:tcW w:type="dxa" w:w="1728"/>
          </w:tcPr>
          <w:p>
            <w:r>
              <w:rPr>
                <w:rFonts w:ascii="Calibri" w:hAnsi="Calibri"/>
                <w:sz w:val="22"/>
              </w:rPr>
              <w:t>+3.5%</w:t>
            </w:r>
          </w:p>
        </w:tc>
        <w:tc>
          <w:tcPr>
            <w:tcW w:type="dxa" w:w="1728"/>
          </w:tcPr>
          <w:p>
            <w:r>
              <w:rPr>
                <w:rFonts w:ascii="Calibri" w:hAnsi="Calibri"/>
                <w:b/>
                <w:color w:val="E5484D"/>
                <w:sz w:val="22"/>
              </w:rPr>
              <w:t>−0.4pp</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+5.2%</w:t>
            </w:r>
          </w:p>
        </w:tc>
        <w:tc>
          <w:tcPr>
            <w:tcW w:type="dxa" w:w="1728"/>
          </w:tcPr>
          <w:p>
            <w:r>
              <w:rPr>
                <w:rFonts w:ascii="Calibri" w:hAnsi="Calibri"/>
                <w:sz w:val="22"/>
              </w:rPr>
              <w:t>+5.8%</w:t>
            </w:r>
          </w:p>
        </w:tc>
        <w:tc>
          <w:tcPr>
            <w:tcW w:type="dxa" w:w="1728"/>
          </w:tcPr>
          <w:p>
            <w:r>
              <w:rPr>
                <w:rFonts w:ascii="Calibri" w:hAnsi="Calibri"/>
                <w:b/>
                <w:color w:val="E5484D"/>
                <w:sz w:val="22"/>
              </w:rPr>
              <w:t>−0.6pp</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+5.4%</w:t>
            </w:r>
          </w:p>
        </w:tc>
        <w:tc>
          <w:tcPr>
            <w:tcW w:type="dxa" w:w="1728"/>
          </w:tcPr>
          <w:p>
            <w:r>
              <w:rPr>
                <w:rFonts w:ascii="Calibri" w:hAnsi="Calibri"/>
                <w:sz w:val="22"/>
              </w:rPr>
              <w:t>+4.8%</w:t>
            </w:r>
          </w:p>
        </w:tc>
        <w:tc>
          <w:tcPr>
            <w:tcW w:type="dxa" w:w="1728"/>
          </w:tcPr>
          <w:p>
            <w:r>
              <w:rPr>
                <w:rFonts w:ascii="Calibri" w:hAnsi="Calibri"/>
                <w:b/>
                <w:color w:val="30A46C"/>
                <w:sz w:val="22"/>
              </w:rPr>
              <w:t>+0.6pp</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+5.6% (est.)</w:t>
            </w:r>
          </w:p>
        </w:tc>
        <w:tc>
          <w:tcPr>
            <w:tcW w:type="dxa" w:w="1728"/>
          </w:tcPr>
          <w:p>
            <w:r>
              <w:rPr>
                <w:rFonts w:ascii="Calibri" w:hAnsi="Calibri"/>
                <w:sz w:val="22"/>
              </w:rPr>
              <w:t>+5.6% (est.)</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KPI 2: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$0.67</w:t>
            </w:r>
          </w:p>
        </w:tc>
        <w:tc>
          <w:tcPr>
            <w:tcW w:type="dxa" w:w="1728"/>
          </w:tcPr>
          <w:p>
            <w:r>
              <w:rPr>
                <w:rFonts w:ascii="Calibri" w:hAnsi="Calibri"/>
                <w:sz w:val="22"/>
              </w:rPr>
              <w:t>$0.61</w:t>
            </w:r>
          </w:p>
        </w:tc>
        <w:tc>
          <w:tcPr>
            <w:tcW w:type="dxa" w:w="1728"/>
          </w:tcPr>
          <w:p>
            <w:r>
              <w:rPr>
                <w:rFonts w:ascii="Calibri" w:hAnsi="Calibri"/>
                <w:b/>
                <w:color w:val="30A46C"/>
                <w:sz w:val="22"/>
              </w:rPr>
              <w:t>+9.8%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$0.72</w:t>
            </w:r>
          </w:p>
        </w:tc>
        <w:tc>
          <w:tcPr>
            <w:tcW w:type="dxa" w:w="1728"/>
          </w:tcPr>
          <w:p>
            <w:r>
              <w:rPr>
                <w:rFonts w:ascii="Calibri" w:hAnsi="Calibri"/>
                <w:sz w:val="22"/>
              </w:rPr>
              <w:t>$0.69</w:t>
            </w:r>
          </w:p>
        </w:tc>
        <w:tc>
          <w:tcPr>
            <w:tcW w:type="dxa" w:w="1728"/>
          </w:tcPr>
          <w:p>
            <w:r>
              <w:rPr>
                <w:rFonts w:ascii="Calibri" w:hAnsi="Calibri"/>
                <w:b/>
                <w:color w:val="30A46C"/>
                <w:sz w:val="22"/>
              </w:rPr>
              <w:t>+4.3%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$0.73</w:t>
            </w:r>
          </w:p>
        </w:tc>
        <w:tc>
          <w:tcPr>
            <w:tcW w:type="dxa" w:w="1728"/>
          </w:tcPr>
          <w:p>
            <w:r>
              <w:rPr>
                <w:rFonts w:ascii="Calibri" w:hAnsi="Calibri"/>
                <w:sz w:val="22"/>
              </w:rPr>
              <w:t>$0.71</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$0.73</w:t>
            </w:r>
          </w:p>
        </w:tc>
        <w:tc>
          <w:tcPr>
            <w:tcW w:type="dxa" w:w="1728"/>
          </w:tcPr>
          <w:p>
            <w:r>
              <w:rPr>
                <w:rFonts w:ascii="Calibri" w:hAnsi="Calibri"/>
                <w:sz w:val="22"/>
              </w:rPr>
              <w:t>$0.69</w:t>
            </w:r>
          </w:p>
        </w:tc>
        <w:tc>
          <w:tcPr>
            <w:tcW w:type="dxa" w:w="1728"/>
          </w:tcPr>
          <w:p>
            <w:r>
              <w:rPr>
                <w:rFonts w:ascii="Calibri" w:hAnsi="Calibri"/>
                <w:b/>
                <w:color w:val="30A46C"/>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$0.74</w:t>
            </w:r>
          </w:p>
        </w:tc>
        <w:tc>
          <w:tcPr>
            <w:tcW w:type="dxa" w:w="1728"/>
          </w:tcPr>
          <w:p>
            <w:r>
              <w:rPr>
                <w:rFonts w:ascii="Calibri" w:hAnsi="Calibri"/>
                <w:sz w:val="22"/>
              </w:rPr>
              <w:t>$0.66</w:t>
            </w:r>
          </w:p>
        </w:tc>
        <w:tc>
          <w:tcPr>
            <w:tcW w:type="dxa" w:w="1728"/>
          </w:tcPr>
          <w:p>
            <w:r>
              <w:rPr>
                <w:rFonts w:ascii="Calibri" w:hAnsi="Calibri"/>
                <w:b/>
                <w:color w:val="30A46C"/>
                <w:sz w:val="22"/>
              </w:rPr>
              <w:t>+12.1%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$0.65</w:t>
            </w:r>
          </w:p>
        </w:tc>
        <w:tc>
          <w:tcPr>
            <w:tcW w:type="dxa" w:w="1728"/>
          </w:tcPr>
          <w:p>
            <w:r>
              <w:rPr>
                <w:rFonts w:ascii="Calibri" w:hAnsi="Calibri"/>
                <w:sz w:val="22"/>
              </w:rPr>
              <w:t>$0.66</w:t>
            </w:r>
          </w:p>
        </w:tc>
        <w:tc>
          <w:tcPr>
            <w:tcW w:type="dxa" w:w="1728"/>
          </w:tcPr>
          <w:p>
            <w:r>
              <w:rPr>
                <w:rFonts w:ascii="Calibri" w:hAnsi="Calibri"/>
                <w:b/>
                <w:color w:val="E5484D"/>
                <w:sz w:val="22"/>
              </w:rPr>
              <w:t>−1.5%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$0.95</w:t>
            </w:r>
          </w:p>
        </w:tc>
        <w:tc>
          <w:tcPr>
            <w:tcW w:type="dxa" w:w="1728"/>
          </w:tcPr>
          <w:p>
            <w:r>
              <w:rPr>
                <w:rFonts w:ascii="Calibri" w:hAnsi="Calibri"/>
                <w:sz w:val="22"/>
              </w:rPr>
              <w:t>$0.85</w:t>
            </w:r>
          </w:p>
        </w:tc>
        <w:tc>
          <w:tcPr>
            <w:tcW w:type="dxa" w:w="1728"/>
          </w:tcPr>
          <w:p>
            <w:r>
              <w:rPr>
                <w:rFonts w:ascii="Calibri" w:hAnsi="Calibri"/>
                <w:b/>
                <w:color w:val="30A46C"/>
                <w:sz w:val="22"/>
              </w:rPr>
              <w:t>+11.8%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$0.73 (est.)</w:t>
            </w:r>
          </w:p>
        </w:tc>
        <w:tc>
          <w:tcPr>
            <w:tcW w:type="dxa" w:w="1728"/>
          </w:tcPr>
          <w:p>
            <w:r>
              <w:rPr>
                <w:rFonts w:ascii="Calibri" w:hAnsi="Calibri"/>
                <w:sz w:val="22"/>
              </w:rPr>
              <w:t>$0.69 (est.)</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MDLZ has beaten adjusted EPS consensus in 6 of the last 7 fully reported quarters, with the sole miss in Q4 2024 driven by an unexpected cocoa cost spike; the consistent beat pattern on EPS — averaging ~+6% surprise — reflects management’s tendency to set conservative guidance and reinvest upside rather than flow it through to the bottom line.</w:t>
      </w:r>
    </w:p>
    <w:p>
      <w:r>
        <w:rPr>
          <w:rFonts w:ascii="Calibri" w:hAnsi="Calibri"/>
          <w:i/>
          <w:color w:val="525866"/>
          <w:sz w:val="22"/>
        </w:rPr>
        <w:t xml:space="preserve">Source: </w:t>
      </w:r>
      <w:r>
        <w:rPr>
          <w:rFonts w:ascii="Calibri" w:hAnsi="Calibri"/>
          <w:i/>
          <w:color w:val="525866"/>
          <w:sz w:val="22"/>
        </w:rPr>
        <w:t>Visible Alpha Consensus and Actuals Data (EPS Diluted-operating, Organic growth %).</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reaffirmed full-year guidance at Q1 earnings (April 28) rather than raising it, deliberately absorbing Middle East conflict cost headwinds and reinvesting any EPS upside back into the business. The only material post-earnings development was the </w:t>
      </w:r>
      <w:r>
        <w:rPr>
          <w:rFonts w:ascii="Calibri" w:hAnsi="Calibri"/>
          <w:b/>
          <w:color w:val="525866"/>
          <w:sz w:val="22"/>
        </w:rPr>
        <w:t>CFO transition</w:t>
      </w:r>
      <w:r>
        <w:rPr>
          <w:rFonts w:ascii="Calibri" w:hAnsi="Calibri"/>
          <w:color w:val="525866"/>
          <w:sz w:val="22"/>
        </w:rPr>
        <w:t xml:space="preserve"> (Amit Banati effective July 1), which does not alter guidance but introduces a new voice on the Q2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Organic Revenue Growth</w:t>
            </w:r>
          </w:p>
        </w:tc>
        <w:tc>
          <w:tcPr>
            <w:tcW w:type="dxa" w:w="1728"/>
          </w:tcPr>
          <w:p>
            <w:r>
              <w:rPr>
                <w:rFonts w:ascii="Calibri" w:hAnsi="Calibri"/>
                <w:sz w:val="22"/>
              </w:rPr>
              <w:t>Flat to +2%</w:t>
            </w:r>
          </w:p>
        </w:tc>
        <w:tc>
          <w:tcPr>
            <w:tcW w:type="dxa" w:w="1728"/>
          </w:tcPr>
          <w:p>
            <w:r>
              <w:rPr>
                <w:rFonts w:ascii="Calibri" w:hAnsi="Calibri"/>
                <w:sz w:val="22"/>
              </w:rPr>
              <w:t>—</w:t>
            </w:r>
          </w:p>
        </w:tc>
        <w:tc>
          <w:tcPr>
            <w:tcW w:type="dxa" w:w="1728"/>
          </w:tcPr>
          <w:p>
            <w:r>
              <w:rPr>
                <w:rFonts w:ascii="Calibri" w:hAnsi="Calibri"/>
                <w:sz w:val="22"/>
              </w:rPr>
              <w:t>+1.74%</w:t>
            </w:r>
          </w:p>
        </w:tc>
        <w:tc>
          <w:tcPr>
            <w:tcW w:type="dxa" w:w="1728"/>
          </w:tcPr>
          <w:p>
            <w:r>
              <w:rPr>
                <w:rFonts w:ascii="Calibri" w:hAnsi="Calibri"/>
                <w:sz w:val="22"/>
              </w:rPr>
              <w:t>Unchanged; consensus tracking near midpoint of range</w:t>
            </w:r>
          </w:p>
        </w:tc>
      </w:tr>
      <w:tr>
        <w:tc>
          <w:tcPr>
            <w:tcW w:type="dxa" w:w="1728"/>
          </w:tcPr>
          <w:p>
            <w:r>
              <w:rPr>
                <w:rFonts w:ascii="Calibri" w:hAnsi="Calibri"/>
                <w:sz w:val="22"/>
              </w:rPr>
              <w:t>FY2026 Adjusted EPS Growth (CC)</w:t>
            </w:r>
          </w:p>
        </w:tc>
        <w:tc>
          <w:tcPr>
            <w:tcW w:type="dxa" w:w="1728"/>
          </w:tcPr>
          <w:p>
            <w:r>
              <w:rPr>
                <w:rFonts w:ascii="Calibri" w:hAnsi="Calibri"/>
                <w:sz w:val="22"/>
              </w:rPr>
              <w:t>Flat to +5% (constant currency)</w:t>
            </w:r>
          </w:p>
        </w:tc>
        <w:tc>
          <w:tcPr>
            <w:tcW w:type="dxa" w:w="1728"/>
          </w:tcPr>
          <w:p>
            <w:r>
              <w:rPr>
                <w:rFonts w:ascii="Calibri" w:hAnsi="Calibri"/>
                <w:sz w:val="22"/>
              </w:rPr>
              <w:t>—</w:t>
            </w:r>
          </w:p>
        </w:tc>
        <w:tc>
          <w:tcPr>
            <w:tcW w:type="dxa" w:w="1728"/>
          </w:tcPr>
          <w:p>
            <w:r>
              <w:rPr>
                <w:rFonts w:ascii="Calibri" w:hAnsi="Calibri"/>
                <w:sz w:val="22"/>
              </w:rPr>
              <w:t>$3.05 (FY consensus)</w:t>
            </w:r>
          </w:p>
        </w:tc>
        <w:tc>
          <w:tcPr>
            <w:tcW w:type="dxa" w:w="1728"/>
          </w:tcPr>
          <w:p>
            <w:r>
              <w:rPr>
                <w:rFonts w:ascii="Calibri" w:hAnsi="Calibri"/>
                <w:sz w:val="22"/>
              </w:rPr>
              <w:t>Unchanged; management signaled any upside would be reinvested</w:t>
            </w:r>
          </w:p>
        </w:tc>
      </w:tr>
      <w:tr>
        <w:tc>
          <w:tcPr>
            <w:tcW w:type="dxa" w:w="1728"/>
          </w:tcPr>
          <w:p>
            <w:r>
              <w:rPr>
                <w:rFonts w:ascii="Calibri" w:hAnsi="Calibri"/>
                <w:sz w:val="22"/>
              </w:rPr>
              <w:t>FY2026 Free Cash Flow</w:t>
            </w:r>
          </w:p>
        </w:tc>
        <w:tc>
          <w:tcPr>
            <w:tcW w:type="dxa" w:w="1728"/>
          </w:tcPr>
          <w:p>
            <w:r>
              <w:rPr>
                <w:rFonts w:ascii="Calibri" w:hAnsi="Calibri"/>
                <w:sz w:val="22"/>
              </w:rPr>
              <w:t>~$3.0B</w:t>
            </w:r>
          </w:p>
        </w:tc>
        <w:tc>
          <w:tcPr>
            <w:tcW w:type="dxa" w:w="1728"/>
          </w:tcPr>
          <w:p>
            <w:r>
              <w:rPr>
                <w:rFonts w:ascii="Calibri" w:hAnsi="Calibri"/>
                <w:sz w:val="22"/>
              </w:rPr>
              <w:t>—</w:t>
            </w:r>
          </w:p>
        </w:tc>
        <w:tc>
          <w:tcPr>
            <w:tcW w:type="dxa" w:w="1728"/>
          </w:tcPr>
          <w:p>
            <w:r>
              <w:rPr>
                <w:rFonts w:ascii="Calibri" w:hAnsi="Calibri"/>
                <w:sz w:val="22"/>
              </w:rPr>
              <w:t>~$3.0B</w:t>
            </w:r>
          </w:p>
        </w:tc>
        <w:tc>
          <w:tcPr>
            <w:tcW w:type="dxa" w:w="1728"/>
          </w:tcPr>
          <w:p>
            <w:r>
              <w:rPr>
                <w:rFonts w:ascii="Calibri" w:hAnsi="Calibri"/>
                <w:sz w:val="22"/>
              </w:rPr>
              <w:t>Unchanged; no post-earnings update</w:t>
            </w:r>
          </w:p>
        </w:tc>
      </w:tr>
      <w:tr>
        <w:tc>
          <w:tcPr>
            <w:tcW w:type="dxa" w:w="1728"/>
          </w:tcPr>
          <w:p>
            <w:r>
              <w:rPr>
                <w:rFonts w:ascii="Calibri" w:hAnsi="Calibri"/>
                <w:sz w:val="22"/>
              </w:rPr>
              <w:t>FX Translation Impact (FY2026)</w:t>
            </w:r>
          </w:p>
        </w:tc>
        <w:tc>
          <w:tcPr>
            <w:tcW w:type="dxa" w:w="1728"/>
          </w:tcPr>
          <w:p>
            <w:r>
              <w:rPr>
                <w:rFonts w:ascii="Calibri" w:hAnsi="Calibri"/>
                <w:sz w:val="22"/>
              </w:rPr>
              <w:t>+~2.0pp to revenue; +$0.06 to EPS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Based on XE.com rates as of Apr 23, 2026; subject to change</w:t>
            </w:r>
          </w:p>
        </w:tc>
      </w:tr>
      <w:tr>
        <w:tc>
          <w:tcPr>
            <w:tcW w:type="dxa" w:w="1728"/>
          </w:tcPr>
          <w:p>
            <w:r>
              <w:rPr>
                <w:rFonts w:ascii="Calibri" w:hAnsi="Calibri"/>
                <w:sz w:val="22"/>
              </w:rPr>
              <w:t>CFO Leadership</w:t>
            </w:r>
          </w:p>
        </w:tc>
        <w:tc>
          <w:tcPr>
            <w:tcW w:type="dxa" w:w="1728"/>
          </w:tcPr>
          <w:p>
            <w:r>
              <w:rPr>
                <w:rFonts w:ascii="Calibri" w:hAnsi="Calibri"/>
                <w:sz w:val="22"/>
              </w:rPr>
              <w:t>Luca Zaramella (CFO → COO)</w:t>
            </w:r>
          </w:p>
        </w:tc>
        <w:tc>
          <w:tcPr>
            <w:tcW w:type="dxa" w:w="1728"/>
          </w:tcPr>
          <w:p>
            <w:r>
              <w:rPr>
                <w:rFonts w:ascii="Calibri" w:hAnsi="Calibri"/>
                <w:sz w:val="22"/>
              </w:rPr>
              <w:t>Amit Banati appointed CFO, effective July 1, 2026</w:t>
            </w:r>
          </w:p>
        </w:tc>
        <w:tc>
          <w:tcPr>
            <w:tcW w:type="dxa" w:w="1728"/>
          </w:tcPr>
          <w:p>
            <w:r>
              <w:rPr>
                <w:rFonts w:ascii="Calibri" w:hAnsi="Calibri"/>
                <w:sz w:val="22"/>
              </w:rPr>
              <w:t>N/A</w:t>
            </w:r>
          </w:p>
        </w:tc>
        <w:tc>
          <w:tcPr>
            <w:tcW w:type="dxa" w:w="1728"/>
          </w:tcPr>
          <w:p>
            <w:r>
              <w:rPr>
                <w:rFonts w:ascii="Calibri" w:hAnsi="Calibri"/>
                <w:sz w:val="22"/>
              </w:rPr>
              <w:t>↑ 8-K filed June 18, 2026; Banati joins from Kenvue/Kellanova; first earnings call as CFO</w:t>
            </w:r>
          </w:p>
        </w:tc>
      </w:tr>
      <w:tr>
        <w:tc>
          <w:tcPr>
            <w:tcW w:type="dxa" w:w="1728"/>
          </w:tcPr>
          <w:p>
            <w:r>
              <w:rPr>
                <w:rFonts w:ascii="Calibri" w:hAnsi="Calibri"/>
                <w:sz w:val="22"/>
              </w:rPr>
              <w:t>Middle East Conflict Cost Headwind</w:t>
            </w:r>
          </w:p>
        </w:tc>
        <w:tc>
          <w:tcPr>
            <w:tcW w:type="dxa" w:w="1728"/>
          </w:tcPr>
          <w:p>
            <w:r>
              <w:rPr>
                <w:rFonts w:ascii="Calibri" w:hAnsi="Calibri"/>
                <w:sz w:val="22"/>
              </w:rPr>
              <w:t>Acknowledged; alternative routing, energy &amp; packaging costs in unhedged markets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Ongoing; management “well covered” on oil/packaging for FY2026 but some regulated markets cannot hedge</w:t>
            </w:r>
          </w:p>
        </w:tc>
      </w:tr>
    </w:tbl>
    <w:p>
      <w:r>
        <w:rPr>
          <w:rFonts w:ascii="Calibri" w:hAnsi="Calibri"/>
          <w:i/>
          <w:color w:val="525866"/>
          <w:sz w:val="22"/>
        </w:rPr>
        <w:t xml:space="preserve">Source: </w:t>
      </w:r>
      <w:r>
        <w:rPr>
          <w:rFonts w:ascii="Calibri" w:hAnsi="Calibri"/>
          <w:i/>
          <w:color w:val="525866"/>
          <w:sz w:val="22"/>
        </w:rPr>
        <w:t>Q1 2026 Earnings Release and Transcript (April 28, 2026); MDLZ 8-K filed June 18, 2026 (CFO appointment).</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FY2026 have drifted </w:t>
      </w:r>
      <w:r>
        <w:rPr>
          <w:rFonts w:ascii="Calibri" w:hAnsi="Calibri"/>
          <w:b/>
          <w:color w:val="525866"/>
          <w:sz w:val="22"/>
        </w:rPr>
        <w:t>modestly lower</w:t>
      </w:r>
      <w:r>
        <w:rPr>
          <w:rFonts w:ascii="Calibri" w:hAnsi="Calibri"/>
          <w:color w:val="525866"/>
          <w:sz w:val="22"/>
        </w:rPr>
        <w:t xml:space="preserve"> since Q1 earnings — the Q2 EPS consensus is essentially flat while organic revenue estimates have ticked up slightly — suggesting the Street has already priced in the Middle East headwind and is not building in incremental risk. The gap between current consensus and the top of guidance is thin, meaning any positive surprise on volume or margin could prompt a guidance raise.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Organic Revenue Growth — Q2 2026</w:t>
            </w:r>
          </w:p>
        </w:tc>
        <w:tc>
          <w:tcPr>
            <w:tcW w:type="dxa" w:w="1080"/>
          </w:tcPr>
          <w:p>
            <w:r>
              <w:rPr>
                <w:rFonts w:ascii="Calibri" w:hAnsi="Calibri"/>
                <w:sz w:val="22"/>
              </w:rPr>
              <w:t>+0.96%</w:t>
            </w:r>
          </w:p>
        </w:tc>
        <w:tc>
          <w:tcPr>
            <w:tcW w:type="dxa" w:w="1080"/>
          </w:tcPr>
          <w:p>
            <w:r>
              <w:rPr>
                <w:rFonts w:ascii="Calibri" w:hAnsi="Calibri"/>
                <w:sz w:val="22"/>
              </w:rPr>
              <w:t>+0.75%</w:t>
            </w:r>
          </w:p>
        </w:tc>
        <w:tc>
          <w:tcPr>
            <w:tcW w:type="dxa" w:w="1080"/>
          </w:tcPr>
          <w:p>
            <w:r>
              <w:rPr>
                <w:rFonts w:ascii="Calibri" w:hAnsi="Calibri"/>
                <w:sz w:val="22"/>
              </w:rPr>
              <w:t>−0.21pp</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Adjusted EPS — Q2 2026</w:t>
            </w:r>
          </w:p>
        </w:tc>
        <w:tc>
          <w:tcPr>
            <w:tcW w:type="dxa" w:w="1080"/>
          </w:tcPr>
          <w:p>
            <w:r>
              <w:rPr>
                <w:rFonts w:ascii="Calibri" w:hAnsi="Calibri"/>
                <w:sz w:val="22"/>
              </w:rPr>
              <w:t>$0.678</w:t>
            </w:r>
          </w:p>
        </w:tc>
        <w:tc>
          <w:tcPr>
            <w:tcW w:type="dxa" w:w="1080"/>
          </w:tcPr>
          <w:p>
            <w:r>
              <w:rPr>
                <w:rFonts w:ascii="Calibri" w:hAnsi="Calibri"/>
                <w:sz w:val="22"/>
              </w:rPr>
              <w:t>$0.679</w:t>
            </w:r>
          </w:p>
        </w:tc>
        <w:tc>
          <w:tcPr>
            <w:tcW w:type="dxa" w:w="1080"/>
          </w:tcPr>
          <w:p>
            <w:r>
              <w:rPr>
                <w:rFonts w:ascii="Calibri" w:hAnsi="Calibri"/>
                <w:sz w:val="22"/>
              </w:rPr>
              <w:t>+0.1%</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Q2 2026</w:t>
            </w:r>
          </w:p>
        </w:tc>
        <w:tc>
          <w:tcPr>
            <w:tcW w:type="dxa" w:w="1080"/>
          </w:tcPr>
          <w:p>
            <w:r>
              <w:rPr>
                <w:rFonts w:ascii="Calibri" w:hAnsi="Calibri"/>
                <w:sz w:val="22"/>
              </w:rPr>
              <w:t>$9.25B</w:t>
            </w:r>
          </w:p>
        </w:tc>
        <w:tc>
          <w:tcPr>
            <w:tcW w:type="dxa" w:w="1080"/>
          </w:tcPr>
          <w:p>
            <w:r>
              <w:rPr>
                <w:rFonts w:ascii="Calibri" w:hAnsi="Calibri"/>
                <w:sz w:val="22"/>
              </w:rPr>
              <w:t>$9.23B</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Revenue Growth — FY2026</w:t>
            </w:r>
          </w:p>
        </w:tc>
        <w:tc>
          <w:tcPr>
            <w:tcW w:type="dxa" w:w="1080"/>
          </w:tcPr>
          <w:p>
            <w:r>
              <w:rPr>
                <w:rFonts w:ascii="Calibri" w:hAnsi="Calibri"/>
                <w:sz w:val="22"/>
              </w:rPr>
              <w:t>+1.84%</w:t>
            </w:r>
          </w:p>
        </w:tc>
        <w:tc>
          <w:tcPr>
            <w:tcW w:type="dxa" w:w="1080"/>
          </w:tcPr>
          <w:p>
            <w:r>
              <w:rPr>
                <w:rFonts w:ascii="Calibri" w:hAnsi="Calibri"/>
                <w:sz w:val="22"/>
              </w:rPr>
              <w:t>+1.74%</w:t>
            </w:r>
          </w:p>
        </w:tc>
        <w:tc>
          <w:tcPr>
            <w:tcW w:type="dxa" w:w="1080"/>
          </w:tcPr>
          <w:p>
            <w:r>
              <w:rPr>
                <w:rFonts w:ascii="Calibri" w:hAnsi="Calibri"/>
                <w:sz w:val="22"/>
              </w:rPr>
              <w:t>−0.10pp</w:t>
            </w:r>
          </w:p>
        </w:tc>
        <w:tc>
          <w:tcPr>
            <w:tcW w:type="dxa" w:w="1080"/>
          </w:tcPr>
          <w:p>
            <w:r>
              <w:rPr>
                <w:rFonts w:ascii="Calibri" w:hAnsi="Calibri"/>
                <w:sz w:val="22"/>
              </w:rPr>
              <w:t>Flat to +2%</w:t>
            </w:r>
          </w:p>
        </w:tc>
        <w:tc>
          <w:tcPr>
            <w:tcW w:type="dxa" w:w="1080"/>
          </w:tcPr>
          <w:p>
            <w:r>
              <w:rPr>
                <w:rFonts w:ascii="Calibri" w:hAnsi="Calibri"/>
                <w:sz w:val="22"/>
              </w:rPr>
              <w:t>Flat to +2% (unchanged)</w:t>
            </w:r>
          </w:p>
        </w:tc>
        <w:tc>
          <w:tcPr>
            <w:tcW w:type="dxa" w:w="1080"/>
          </w:tcPr>
          <w:p>
            <w:r>
              <w:rPr>
                <w:rFonts w:ascii="Calibri" w:hAnsi="Calibri"/>
                <w:sz w:val="22"/>
              </w:rPr>
              <w:t>No change</w:t>
            </w:r>
          </w:p>
        </w:tc>
        <w:tc>
          <w:tcPr>
            <w:tcW w:type="dxa" w:w="1080"/>
          </w:tcPr>
          <w:p>
            <w:r>
              <w:rPr>
                <w:rFonts w:ascii="Calibri" w:hAnsi="Calibri"/>
                <w:sz w:val="22"/>
              </w:rPr>
              <w:t>+74bp above midpoint (+1%)</w:t>
            </w:r>
          </w:p>
        </w:tc>
      </w:tr>
      <w:tr>
        <w:tc>
          <w:tcPr>
            <w:tcW w:type="dxa" w:w="1080"/>
          </w:tcPr>
          <w:p>
            <w:r>
              <w:rPr>
                <w:rFonts w:ascii="Calibri" w:hAnsi="Calibri"/>
                <w:sz w:val="22"/>
              </w:rPr>
              <w:t>Adjusted EPS — FY2026</w:t>
            </w:r>
          </w:p>
        </w:tc>
        <w:tc>
          <w:tcPr>
            <w:tcW w:type="dxa" w:w="1080"/>
          </w:tcPr>
          <w:p>
            <w:r>
              <w:rPr>
                <w:rFonts w:ascii="Calibri" w:hAnsi="Calibri"/>
                <w:sz w:val="22"/>
              </w:rPr>
              <w:t>$3.054</w:t>
            </w:r>
          </w:p>
        </w:tc>
        <w:tc>
          <w:tcPr>
            <w:tcW w:type="dxa" w:w="1080"/>
          </w:tcPr>
          <w:p>
            <w:r>
              <w:rPr>
                <w:rFonts w:ascii="Calibri" w:hAnsi="Calibri"/>
                <w:sz w:val="22"/>
              </w:rPr>
              <w:t>$3.045</w:t>
            </w:r>
          </w:p>
        </w:tc>
        <w:tc>
          <w:tcPr>
            <w:tcW w:type="dxa" w:w="1080"/>
          </w:tcPr>
          <w:p>
            <w:r>
              <w:rPr>
                <w:rFonts w:ascii="Calibri" w:hAnsi="Calibri"/>
                <w:sz w:val="22"/>
              </w:rPr>
              <w:t>−0.3%</w:t>
            </w:r>
          </w:p>
        </w:tc>
        <w:tc>
          <w:tcPr>
            <w:tcW w:type="dxa" w:w="1080"/>
          </w:tcPr>
          <w:p>
            <w:r>
              <w:rPr>
                <w:rFonts w:ascii="Calibri" w:hAnsi="Calibri"/>
                <w:sz w:val="22"/>
              </w:rPr>
              <w:t>Flat to +5% CC</w:t>
            </w:r>
          </w:p>
        </w:tc>
        <w:tc>
          <w:tcPr>
            <w:tcW w:type="dxa" w:w="1080"/>
          </w:tcPr>
          <w:p>
            <w:r>
              <w:rPr>
                <w:rFonts w:ascii="Calibri" w:hAnsi="Calibri"/>
                <w:sz w:val="22"/>
              </w:rPr>
              <w:t>Flat to +5% CC (unchanged)</w:t>
            </w:r>
          </w:p>
        </w:tc>
        <w:tc>
          <w:tcPr>
            <w:tcW w:type="dxa" w:w="1080"/>
          </w:tcPr>
          <w:p>
            <w:r>
              <w:rPr>
                <w:rFonts w:ascii="Calibri" w:hAnsi="Calibri"/>
                <w:sz w:val="22"/>
              </w:rPr>
              <w:t>No change</w:t>
            </w:r>
          </w:p>
        </w:tc>
        <w:tc>
          <w:tcPr>
            <w:tcW w:type="dxa" w:w="1080"/>
          </w:tcPr>
          <w:p>
            <w:r>
              <w:rPr>
                <w:rFonts w:ascii="Calibri" w:hAnsi="Calibri"/>
                <w:sz w:val="22"/>
              </w:rPr>
              <w:t>Tracking low-to-mid end of range</w:t>
            </w:r>
          </w:p>
        </w:tc>
      </w:tr>
      <w:tr>
        <w:tc>
          <w:tcPr>
            <w:tcW w:type="dxa" w:w="1080"/>
          </w:tcPr>
          <w:p>
            <w:r>
              <w:rPr>
                <w:rFonts w:ascii="Calibri" w:hAnsi="Calibri"/>
                <w:sz w:val="22"/>
              </w:rPr>
              <w:t>Net Revenue — FY2026</w:t>
            </w:r>
          </w:p>
        </w:tc>
        <w:tc>
          <w:tcPr>
            <w:tcW w:type="dxa" w:w="1080"/>
          </w:tcPr>
          <w:p>
            <w:r>
              <w:rPr>
                <w:rFonts w:ascii="Calibri" w:hAnsi="Calibri"/>
                <w:sz w:val="22"/>
              </w:rPr>
              <w:t>$40.07B</w:t>
            </w:r>
          </w:p>
        </w:tc>
        <w:tc>
          <w:tcPr>
            <w:tcW w:type="dxa" w:w="1080"/>
          </w:tcPr>
          <w:p>
            <w:r>
              <w:rPr>
                <w:rFonts w:ascii="Calibri" w:hAnsi="Calibri"/>
                <w:sz w:val="22"/>
              </w:rPr>
              <w:t>$39.99B</w:t>
            </w:r>
          </w:p>
        </w:tc>
        <w:tc>
          <w:tcPr>
            <w:tcW w:type="dxa" w:w="1080"/>
          </w:tcPr>
          <w:p>
            <w:r>
              <w:rPr>
                <w:rFonts w:ascii="Calibri" w:hAnsi="Calibri"/>
                <w:sz w:val="22"/>
              </w:rPr>
              <w:t>−0.2%</w:t>
            </w:r>
          </w:p>
        </w:tc>
        <w:tc>
          <w:tcPr>
            <w:tcW w:type="dxa" w:w="1080"/>
          </w:tcPr>
          <w:p>
            <w:r>
              <w:rPr>
                <w:rFonts w:ascii="Calibri" w:hAnsi="Calibri"/>
                <w:sz w:val="22"/>
              </w:rPr>
              <w:t>~$39.9–40.1B (implied)</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In line with implied range</w:t>
            </w:r>
          </w:p>
        </w:tc>
      </w:tr>
    </w:tbl>
    <w:p>
      <w:r>
        <w:rPr>
          <w:rFonts w:ascii="Calibri" w:hAnsi="Calibri"/>
          <w:color w:val="525866"/>
          <w:sz w:val="22"/>
        </w:rPr>
        <w:t>Estimates have been remarkably stable since Q1 earnings, with only marginal downward drift of ~0.1–0.3% across all key metrics — the Street has absorbed the Middle East headwind and is not pricing in incremental downside, leaving the setup skewed toward a modest beat if emerging markets again outperform.</w:t>
      </w:r>
    </w:p>
    <w:p>
      <w:r>
        <w:rPr>
          <w:rFonts w:ascii="Calibri" w:hAnsi="Calibri"/>
          <w:i/>
          <w:color w:val="525866"/>
          <w:sz w:val="22"/>
        </w:rPr>
        <w:t xml:space="preserve">Source: </w:t>
      </w:r>
      <w:r>
        <w:rPr>
          <w:rFonts w:ascii="Calibri" w:hAnsi="Calibri"/>
          <w:i/>
          <w:color w:val="525866"/>
          <w:sz w:val="22"/>
        </w:rPr>
        <w:t>Visible Alpha Consensus and Actuals Data (all KPIs, as-of May 5, 2026 and current). Q1 2026 Earnings Release for guidance.</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Since Q1 earnings (April 28, 2026), MDLZ has </w:t>
      </w:r>
      <w:r>
        <w:rPr>
          <w:rFonts w:ascii="Calibri" w:hAnsi="Calibri"/>
          <w:b/>
          <w:color w:val="525866"/>
          <w:sz w:val="22"/>
        </w:rPr>
        <w:t>underperformed both XLP and the S&amp;P 500</w:t>
      </w:r>
      <w:r>
        <w:rPr>
          <w:rFonts w:ascii="Calibri" w:hAnsi="Calibri"/>
          <w:color w:val="525866"/>
          <w:sz w:val="22"/>
        </w:rPr>
        <w:t xml:space="preserve"> on a net basis, with the stock essentially flat (+3.6% indexed) while XLP gained +2.7% and SPY gained +3.9% over the same period. The underperformance is driven primarily by </w:t>
      </w:r>
      <w:r>
        <w:rPr>
          <w:rFonts w:ascii="Calibri" w:hAnsi="Calibri"/>
          <w:b/>
          <w:color w:val="525866"/>
          <w:sz w:val="22"/>
        </w:rPr>
        <w:t>multiple compression</w:t>
      </w:r>
      <w:r>
        <w:rPr>
          <w:rFonts w:ascii="Calibri" w:hAnsi="Calibri"/>
          <w:color w:val="525866"/>
          <w:sz w:val="22"/>
        </w:rPr>
        <w:t xml:space="preserve"> (NTM P/E contracted from ~19.2x to ~18.8x over the past month) rather than estimate cuts, suggesting sentiment — not fundamentals — is the primary headwind.</w:t>
      </w:r>
    </w:p>
    <w:p>
      <w:pPr>
        <w:pStyle w:val="Heading2"/>
      </w:pPr>
      <w:r>
        <w:rPr>
          <w:rFonts w:ascii="Calibri" w:hAnsi="Calibri"/>
          <w:b/>
          <w:color w:val="3B4259"/>
          <w:sz w:val="28"/>
        </w:rPr>
        <w:t>Indexed Price Performance Since Q1 2026 Earnings (Base = 100 at April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MDLZ (Indexed)</w:t>
            </w:r>
          </w:p>
        </w:tc>
        <w:tc>
          <w:tcPr>
            <w:tcW w:type="dxa" w:w="2160"/>
            <w:shd w:val="clear" w:color="auto" w:fill="3B4259"/>
          </w:tcPr>
          <w:p>
            <w:r>
              <w:rPr>
                <w:rFonts w:ascii="Calibri" w:hAnsi="Calibri"/>
                <w:b/>
                <w:color w:val="FFFFFF"/>
                <w:sz w:val="22"/>
              </w:rPr>
              <w:t>XLP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28, 2026</w:t>
            </w:r>
          </w:p>
        </w:tc>
        <w:tc>
          <w:tcPr>
            <w:tcW w:type="dxa" w:w="2160"/>
          </w:tcPr>
          <w:p>
            <w:r>
              <w:rPr>
                <w:rFonts w:ascii="Calibri" w:hAnsi="Calibri"/>
                <w:sz w:val="22"/>
              </w:rPr>
              <w:t>106.6</w:t>
            </w:r>
          </w:p>
        </w:tc>
        <w:tc>
          <w:tcPr>
            <w:tcW w:type="dxa" w:w="2160"/>
          </w:tcPr>
          <w:p>
            <w:r>
              <w:rPr>
                <w:rFonts w:ascii="Calibri" w:hAnsi="Calibri"/>
                <w:sz w:val="22"/>
              </w:rPr>
              <w:t>101.6</w:t>
            </w:r>
          </w:p>
        </w:tc>
        <w:tc>
          <w:tcPr>
            <w:tcW w:type="dxa" w:w="2160"/>
          </w:tcPr>
          <w:p>
            <w:r>
              <w:rPr>
                <w:rFonts w:ascii="Calibri" w:hAnsi="Calibri"/>
                <w:sz w:val="22"/>
              </w:rPr>
              <w:t>106.0</w:t>
            </w:r>
          </w:p>
        </w:tc>
      </w:tr>
      <w:tr>
        <w:tc>
          <w:tcPr>
            <w:tcW w:type="dxa" w:w="2160"/>
          </w:tcPr>
          <w:p>
            <w:r>
              <w:rPr>
                <w:rFonts w:ascii="Calibri" w:hAnsi="Calibri"/>
                <w:sz w:val="22"/>
              </w:rPr>
              <w:t>Jun 10, 2026 (Peak)</w:t>
            </w:r>
          </w:p>
        </w:tc>
        <w:tc>
          <w:tcPr>
            <w:tcW w:type="dxa" w:w="2160"/>
          </w:tcPr>
          <w:p>
            <w:r>
              <w:rPr>
                <w:rFonts w:ascii="Calibri" w:hAnsi="Calibri"/>
                <w:sz w:val="22"/>
              </w:rPr>
              <w:t>109.6</w:t>
            </w:r>
          </w:p>
        </w:tc>
        <w:tc>
          <w:tcPr>
            <w:tcW w:type="dxa" w:w="2160"/>
          </w:tcPr>
          <w:p>
            <w:r>
              <w:rPr>
                <w:rFonts w:ascii="Calibri" w:hAnsi="Calibri"/>
                <w:sz w:val="22"/>
              </w:rPr>
              <w:t>102.9</w:t>
            </w:r>
          </w:p>
        </w:tc>
        <w:tc>
          <w:tcPr>
            <w:tcW w:type="dxa" w:w="2160"/>
          </w:tcPr>
          <w:p>
            <w:r>
              <w:rPr>
                <w:rFonts w:ascii="Calibri" w:hAnsi="Calibri"/>
                <w:sz w:val="22"/>
              </w:rPr>
              <w:t>101.9</w:t>
            </w:r>
          </w:p>
        </w:tc>
      </w:tr>
      <w:tr>
        <w:tc>
          <w:tcPr>
            <w:tcW w:type="dxa" w:w="2160"/>
          </w:tcPr>
          <w:p>
            <w:r>
              <w:rPr>
                <w:rFonts w:ascii="Calibri" w:hAnsi="Calibri"/>
                <w:sz w:val="22"/>
              </w:rPr>
              <w:t>Jun 18, 2026 (CFO Announcement)</w:t>
            </w:r>
          </w:p>
        </w:tc>
        <w:tc>
          <w:tcPr>
            <w:tcW w:type="dxa" w:w="2160"/>
          </w:tcPr>
          <w:p>
            <w:r>
              <w:rPr>
                <w:rFonts w:ascii="Calibri" w:hAnsi="Calibri"/>
                <w:sz w:val="22"/>
              </w:rPr>
              <w:t>102.7</w:t>
            </w:r>
          </w:p>
        </w:tc>
        <w:tc>
          <w:tcPr>
            <w:tcW w:type="dxa" w:w="2160"/>
          </w:tcPr>
          <w:p>
            <w:r>
              <w:rPr>
                <w:rFonts w:ascii="Calibri" w:hAnsi="Calibri"/>
                <w:sz w:val="22"/>
              </w:rPr>
              <w:t>100.3</w:t>
            </w:r>
          </w:p>
        </w:tc>
        <w:tc>
          <w:tcPr>
            <w:tcW w:type="dxa" w:w="2160"/>
          </w:tcPr>
          <w:p>
            <w:r>
              <w:rPr>
                <w:rFonts w:ascii="Calibri" w:hAnsi="Calibri"/>
                <w:sz w:val="22"/>
              </w:rPr>
              <w:t>104.9</w:t>
            </w:r>
          </w:p>
        </w:tc>
      </w:tr>
      <w:tr>
        <w:tc>
          <w:tcPr>
            <w:tcW w:type="dxa" w:w="2160"/>
          </w:tcPr>
          <w:p>
            <w:r>
              <w:rPr>
                <w:rFonts w:ascii="Calibri" w:hAnsi="Calibri"/>
                <w:sz w:val="22"/>
              </w:rPr>
              <w:t>Jun 30, 2026</w:t>
            </w:r>
          </w:p>
        </w:tc>
        <w:tc>
          <w:tcPr>
            <w:tcW w:type="dxa" w:w="2160"/>
          </w:tcPr>
          <w:p>
            <w:r>
              <w:rPr>
                <w:rFonts w:ascii="Calibri" w:hAnsi="Calibri"/>
                <w:sz w:val="22"/>
              </w:rPr>
              <w:t>98.8</w:t>
            </w:r>
          </w:p>
        </w:tc>
        <w:tc>
          <w:tcPr>
            <w:tcW w:type="dxa" w:w="2160"/>
          </w:tcPr>
          <w:p>
            <w:r>
              <w:rPr>
                <w:rFonts w:ascii="Calibri" w:hAnsi="Calibri"/>
                <w:sz w:val="22"/>
              </w:rPr>
              <w:t>100.0</w:t>
            </w:r>
          </w:p>
        </w:tc>
        <w:tc>
          <w:tcPr>
            <w:tcW w:type="dxa" w:w="2160"/>
          </w:tcPr>
          <w:p>
            <w:r>
              <w:rPr>
                <w:rFonts w:ascii="Calibri" w:hAnsi="Calibri"/>
                <w:sz w:val="22"/>
              </w:rPr>
              <w:t>104.9</w:t>
            </w:r>
          </w:p>
        </w:tc>
      </w:tr>
      <w:tr>
        <w:tc>
          <w:tcPr>
            <w:tcW w:type="dxa" w:w="2160"/>
          </w:tcPr>
          <w:p>
            <w:r>
              <w:rPr>
                <w:rFonts w:ascii="Calibri" w:hAnsi="Calibri"/>
                <w:sz w:val="22"/>
              </w:rPr>
              <w:t>Jul 16, 2026</w:t>
            </w:r>
          </w:p>
        </w:tc>
        <w:tc>
          <w:tcPr>
            <w:tcW w:type="dxa" w:w="2160"/>
          </w:tcPr>
          <w:p>
            <w:r>
              <w:rPr>
                <w:rFonts w:ascii="Calibri" w:hAnsi="Calibri"/>
                <w:sz w:val="22"/>
              </w:rPr>
              <w:t>104.9</w:t>
            </w:r>
          </w:p>
        </w:tc>
        <w:tc>
          <w:tcPr>
            <w:tcW w:type="dxa" w:w="2160"/>
          </w:tcPr>
          <w:p>
            <w:r>
              <w:rPr>
                <w:rFonts w:ascii="Calibri" w:hAnsi="Calibri"/>
                <w:sz w:val="22"/>
              </w:rPr>
              <w:t>103.3</w:t>
            </w:r>
          </w:p>
        </w:tc>
        <w:tc>
          <w:tcPr>
            <w:tcW w:type="dxa" w:w="2160"/>
          </w:tcPr>
          <w:p>
            <w:r>
              <w:rPr>
                <w:rFonts w:ascii="Calibri" w:hAnsi="Calibri"/>
                <w:sz w:val="22"/>
              </w:rPr>
              <w:t>105.5</w:t>
            </w:r>
          </w:p>
        </w:tc>
      </w:tr>
      <w:tr>
        <w:tc>
          <w:tcPr>
            <w:tcW w:type="dxa" w:w="2160"/>
          </w:tcPr>
          <w:p>
            <w:r>
              <w:rPr>
                <w:rFonts w:ascii="Calibri" w:hAnsi="Calibri"/>
                <w:sz w:val="22"/>
              </w:rPr>
              <w:t>Jul 24, 2026 (Latest)</w:t>
            </w:r>
          </w:p>
        </w:tc>
        <w:tc>
          <w:tcPr>
            <w:tcW w:type="dxa" w:w="2160"/>
          </w:tcPr>
          <w:p>
            <w:r>
              <w:rPr>
                <w:rFonts w:ascii="Calibri" w:hAnsi="Calibri"/>
                <w:sz w:val="22"/>
              </w:rPr>
              <w:t>103.4</w:t>
            </w:r>
          </w:p>
        </w:tc>
        <w:tc>
          <w:tcPr>
            <w:tcW w:type="dxa" w:w="2160"/>
          </w:tcPr>
          <w:p>
            <w:r>
              <w:rPr>
                <w:rFonts w:ascii="Calibri" w:hAnsi="Calibri"/>
                <w:sz w:val="22"/>
              </w:rPr>
              <w:t>101.3</w:t>
            </w:r>
          </w:p>
        </w:tc>
        <w:tc>
          <w:tcPr>
            <w:tcW w:type="dxa" w:w="2160"/>
          </w:tcPr>
          <w:p>
            <w:r>
              <w:rPr>
                <w:rFonts w:ascii="Calibri" w:hAnsi="Calibri"/>
                <w:sz w:val="22"/>
              </w:rPr>
              <w:t>103.8</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 xml:space="preserve">June 18, 2026: </w:t>
      </w:r>
      <w:r>
        <w:rPr>
          <w:rFonts w:ascii="Calibri" w:hAnsi="Calibri"/>
          <w:color w:val="525866"/>
          <w:sz w:val="22"/>
        </w:rPr>
        <w:t>MDLZ 8-K — CFO transition announced (Amit Banati replacing Luca Zaramella, effective July 1). Stock pulled back ~2% on the day amid uncertainty around new leadership tone.</w:t>
      </w:r>
    </w:p>
    <w:p>
      <w:pPr>
        <w:pStyle w:val="ListBullet"/>
        <w:ind w:left="360" w:hanging="360"/>
      </w:pPr>
      <w:r>
        <w:rPr>
          <w:rFonts w:ascii="Calibri" w:hAnsi="Calibri"/>
          <w:b/>
          <w:color w:val="525866"/>
          <w:sz w:val="22"/>
        </w:rPr>
        <w:t xml:space="preserve">June 10, 2026: </w:t>
      </w:r>
      <w:r>
        <w:rPr>
          <w:rFonts w:ascii="Calibri" w:hAnsi="Calibri"/>
          <w:color w:val="525866"/>
          <w:sz w:val="22"/>
        </w:rPr>
        <w:t>MDLZ reached its post-earnings peak (~$64.18), up ~9.6% from Q1 earnings close, driven by broader consumer staples rotation and cocoa price easing.</w:t>
      </w:r>
    </w:p>
    <w:p>
      <w:pPr>
        <w:pStyle w:val="ListBullet"/>
        <w:ind w:left="360" w:hanging="360"/>
      </w:pPr>
      <w:r>
        <w:rPr>
          <w:rFonts w:ascii="Calibri" w:hAnsi="Calibri"/>
          <w:b/>
          <w:color w:val="525866"/>
          <w:sz w:val="22"/>
        </w:rPr>
        <w:t xml:space="preserve">June 30, 2026: </w:t>
      </w:r>
      <w:r>
        <w:rPr>
          <w:rFonts w:ascii="Calibri" w:hAnsi="Calibri"/>
          <w:color w:val="525866"/>
          <w:sz w:val="22"/>
        </w:rPr>
        <w:t>Stock dipped to $57.84 (below Q1 earnings close), likely reflecting quarter-end rebalancing and broader risk-off sentiment.</w:t>
      </w:r>
    </w:p>
    <w:p>
      <w:r>
        <w:rPr>
          <w:rFonts w:ascii="Calibri" w:hAnsi="Calibri"/>
          <w:b/>
          <w:color w:val="525866"/>
          <w:sz w:val="22"/>
        </w:rPr>
        <w:t xml:space="preserve">Valuation Context: </w:t>
      </w:r>
      <w:r>
        <w:rPr>
          <w:rFonts w:ascii="Calibri" w:hAnsi="Calibri"/>
          <w:color w:val="525866"/>
          <w:sz w:val="22"/>
        </w:rPr>
        <w:t xml:space="preserve">MDLZ currently trades at </w:t>
      </w:r>
      <w:r>
        <w:rPr>
          <w:rFonts w:ascii="Calibri" w:hAnsi="Calibri"/>
          <w:b/>
          <w:color w:val="525866"/>
          <w:sz w:val="22"/>
        </w:rPr>
        <w:t>18.8x NTM P/E</w:t>
      </w:r>
      <w:r>
        <w:rPr>
          <w:rFonts w:ascii="Calibri" w:hAnsi="Calibri"/>
          <w:color w:val="525866"/>
          <w:sz w:val="22"/>
        </w:rPr>
        <w:t xml:space="preserve"> and 13.9x NTM EV/EBITDA — both at the low end of the 5-year historical range and below the consumer staples peer group average, reflecting the market’s focus on near-term cocoa headwinds rather than the 2027 margin recovery story. Over the trailing 12 months, the stock is down ~13.5% with ~10.3% attributable to multiple compression and the remainder to modest estimate cuts.</w:t>
      </w:r>
    </w:p>
    <w:p>
      <w:r>
        <w:rPr>
          <w:rFonts w:ascii="Calibri" w:hAnsi="Calibri"/>
          <w:i/>
          <w:color w:val="525866"/>
          <w:sz w:val="22"/>
        </w:rPr>
        <w:t xml:space="preserve">Source: </w:t>
      </w:r>
      <w:r>
        <w:rPr>
          <w:rFonts w:ascii="Calibri" w:hAnsi="Calibri"/>
          <w:i/>
          <w:color w:val="525866"/>
          <w:sz w:val="22"/>
        </w:rPr>
        <w:t>Stock Price Data (Yahoo Finance); Stock Performance Decomposition (NTM multiples).</w:t>
      </w:r>
    </w:p>
    <w:p>
      <w:r>
        <w:br w:type="page"/>
      </w:r>
    </w:p>
    <w:p>
      <w:pPr>
        <w:pStyle w:val="Heading1"/>
        <w:pBdr>
          <w:bottom w:val="single" w:sz="4" w:space="1" w:color="FB9120"/>
        </w:pBdr>
      </w:pPr>
      <w:r>
        <w:rPr>
          <w:rFonts w:ascii="Calibri" w:hAnsi="Calibri"/>
          <w:b/>
          <w:color w:val="3B4259"/>
          <w:sz w:val="40"/>
        </w:rPr>
        <w:t>6. Peer Commentaries — Q2 2026 Current-Quarter Read-Through</w:t>
      </w:r>
    </w:p>
    <w:p>
      <w:r>
        <w:rPr>
          <w:rFonts w:ascii="Calibri" w:hAnsi="Calibri"/>
          <w:b/>
          <w:color w:val="525866"/>
          <w:sz w:val="22"/>
        </w:rPr>
        <w:t xml:space="preserve">Key Takeaway: </w:t>
      </w:r>
      <w:r>
        <w:rPr>
          <w:rFonts w:ascii="Calibri" w:hAnsi="Calibri"/>
          <w:color w:val="525866"/>
          <w:sz w:val="22"/>
        </w:rPr>
        <w:t xml:space="preserve">Peer commentary from the last 60 days paints a </w:t>
      </w:r>
      <w:r>
        <w:rPr>
          <w:rFonts w:ascii="Calibri" w:hAnsi="Calibri"/>
          <w:b/>
          <w:color w:val="525866"/>
          <w:sz w:val="22"/>
        </w:rPr>
        <w:t>mixed but navigable</w:t>
      </w:r>
      <w:r>
        <w:rPr>
          <w:rFonts w:ascii="Calibri" w:hAnsi="Calibri"/>
          <w:color w:val="525866"/>
          <w:sz w:val="22"/>
        </w:rPr>
        <w:t xml:space="preserve"> picture for MDLZ’s Q2: PepsiCo’s North America food weakness is a clear negative read-through for MDLZ’s biscuit business, but Nestlé’s strong snack/confectionery emerging markets growth and KHC’s constructive retailer tone are offsetting positives. The common thread across all three peers is that </w:t>
      </w:r>
      <w:r>
        <w:rPr>
          <w:rFonts w:ascii="Calibri" w:hAnsi="Calibri"/>
          <w:b/>
          <w:color w:val="525866"/>
          <w:sz w:val="22"/>
        </w:rPr>
        <w:t>the consumer is stressed in North America</w:t>
      </w:r>
      <w:r>
        <w:rPr>
          <w:rFonts w:ascii="Calibri" w:hAnsi="Calibri"/>
          <w:color w:val="525866"/>
          <w:sz w:val="22"/>
        </w:rPr>
        <w:t xml:space="preserve"> but </w:t>
      </w:r>
      <w:r>
        <w:rPr>
          <w:rFonts w:ascii="Calibri" w:hAnsi="Calibri"/>
          <w:b/>
          <w:color w:val="525866"/>
          <w:sz w:val="22"/>
        </w:rPr>
        <w:t>emerging markets remain resilient</w:t>
      </w:r>
      <w:r>
        <w:rPr>
          <w:rFonts w:ascii="Calibri" w:hAnsi="Calibri"/>
          <w:color w:val="525866"/>
          <w:sz w:val="22"/>
        </w:rPr>
        <w:t xml:space="preserve"> — a dynamic that plays to MDLZ’s geographic mix advantage.</w:t>
      </w:r>
    </w:p>
    <w:p>
      <w:r>
        <w:rPr>
          <w:rFonts w:ascii="Calibri" w:hAnsi="Calibri"/>
          <w:b/>
          <w:i/>
          <w:color w:val="525866"/>
          <w:sz w:val="22"/>
        </w:rPr>
        <w:t xml:space="preserve">Note: </w:t>
      </w:r>
      <w:r>
        <w:rPr>
          <w:rFonts w:ascii="Calibri" w:hAnsi="Calibri"/>
          <w:i/>
          <w:color w:val="525866"/>
          <w:sz w:val="22"/>
        </w:rPr>
        <w:t>Only commentary explicitly covering the April–June 2026 reporting period or forward current-quarter conditions is included below. Prior-quarter results commentary (e.g., peers discussing their own Q1 2026 results as historical) is excluded.</w:t>
      </w:r>
    </w:p>
    <w:p>
      <w:pPr>
        <w:pStyle w:val="Heading2"/>
      </w:pPr>
      <w:r>
        <w:rPr>
          <w:rFonts w:ascii="Calibri" w:hAnsi="Calibri"/>
          <w:b/>
          <w:color w:val="3B4259"/>
          <w:sz w:val="28"/>
        </w:rPr>
        <w:t>PepsiCo (PEP) — Q2 2026 Earnings (Reported July 9, 2026)</w:t>
      </w:r>
    </w:p>
    <w:p>
      <w:r>
        <w:rPr>
          <w:rFonts w:ascii="Calibri" w:hAnsi="Calibri"/>
          <w:b/>
          <w:color w:val="525866"/>
          <w:sz w:val="22"/>
        </w:rPr>
        <w:t xml:space="preserve">Relevance to MDLZ: </w:t>
      </w:r>
      <w:r>
        <w:rPr>
          <w:rFonts w:ascii="Calibri" w:hAnsi="Calibri"/>
          <w:color w:val="525866"/>
          <w:sz w:val="22"/>
        </w:rPr>
        <w:t>PEP’s North America food business is the most direct read-through to MDLZ’s North America biscuit segment. PEP’s international beverage strength and maintained full-year guidance are modestly positive signals for the broader consumer staples backdrop.</w:t>
      </w:r>
    </w:p>
    <w:p>
      <w:pPr>
        <w:pStyle w:val="ListBullet"/>
        <w:ind w:left="360" w:hanging="360"/>
      </w:pPr>
      <w:r>
        <w:rPr>
          <w:rFonts w:ascii="Calibri" w:hAnsi="Calibri"/>
          <w:b/>
          <w:color w:val="525866"/>
          <w:sz w:val="22"/>
        </w:rPr>
        <w:t xml:space="preserve">North America Food Weakness (Negative Read-Through): </w:t>
      </w:r>
      <w:r>
        <w:rPr>
          <w:rFonts w:ascii="Calibri" w:hAnsi="Calibri"/>
          <w:color w:val="525866"/>
          <w:sz w:val="22"/>
        </w:rPr>
        <w:t xml:space="preserve">PepsiCo’s North America foods organic sales were </w:t>
      </w:r>
      <w:r>
        <w:rPr>
          <w:rFonts w:ascii="Calibri" w:hAnsi="Calibri"/>
          <w:b/>
          <w:color w:val="525866"/>
          <w:sz w:val="22"/>
        </w:rPr>
        <w:t>down ~2% in Q2 2026</w:t>
      </w:r>
      <w:r>
        <w:rPr>
          <w:rFonts w:ascii="Calibri" w:hAnsi="Calibri"/>
          <w:color w:val="525866"/>
          <w:sz w:val="22"/>
        </w:rPr>
        <w:t>, with CEO Ramon Laguarta citing “U.S. food and beverage category performance moderated with consumer budgets tightening due to rising inflationary pressures.” PEP cut prices on Lay’s and Doritos and shifted toward smaller pack sizes to lure back budget-conscious consumers. This is a direct negative read-through for MDLZ’s North America biscuit business, which was already tracking only +0.5% organic growth in Q1 2026 and where the Street is modeling only +0.4% for Q2.</w:t>
      </w:r>
    </w:p>
    <w:p>
      <w:pPr>
        <w:pStyle w:val="ListBullet"/>
        <w:ind w:left="360" w:hanging="360"/>
      </w:pPr>
      <w:r>
        <w:rPr>
          <w:rFonts w:ascii="Calibri" w:hAnsi="Calibri"/>
          <w:b/>
          <w:color w:val="525866"/>
          <w:sz w:val="22"/>
        </w:rPr>
        <w:t xml:space="preserve">Consumer Stress Confirmed (Negative Read-Through): </w:t>
      </w:r>
      <w:r>
        <w:rPr>
          <w:rFonts w:ascii="Calibri" w:hAnsi="Calibri"/>
          <w:color w:val="525866"/>
          <w:sz w:val="22"/>
        </w:rPr>
        <w:t>PEP’s commentary that “tightening consumer budgets due to rising inflationary pressures had held back growth in North America” corroborates MDLZ management’s own Q1 commentary that U.S. consumer confidence “remains quite low” and is expected to “further deteriorate as the Middle East conflict continues.” The Street’s modest +0.4% North America organic growth estimate for MDLZ Q2 appears appropriately calibrated.</w:t>
      </w:r>
    </w:p>
    <w:p>
      <w:pPr>
        <w:pStyle w:val="ListBullet"/>
        <w:ind w:left="360" w:hanging="360"/>
      </w:pPr>
      <w:r>
        <w:rPr>
          <w:rFonts w:ascii="Calibri" w:hAnsi="Calibri"/>
          <w:b/>
          <w:color w:val="525866"/>
          <w:sz w:val="22"/>
        </w:rPr>
        <w:t xml:space="preserve">Full-Year Guidance Maintained (Neutral/Positive): </w:t>
      </w:r>
      <w:r>
        <w:rPr>
          <w:rFonts w:ascii="Calibri" w:hAnsi="Calibri"/>
          <w:color w:val="525866"/>
          <w:sz w:val="22"/>
        </w:rPr>
        <w:t>PEP kept its FY2026 organic revenue growth guidance of +2% to +4% and core constant-currency EPS growth of +4% to +6% unchanged despite the North America weakness, suggesting the company sees international strength as sufficient to offset domestic softness. This is a modestly positive signal for MDLZ’s own guidance reaffirmation posture.</w:t>
      </w:r>
    </w:p>
    <w:p>
      <w:pPr>
        <w:pStyle w:val="ListBullet"/>
        <w:ind w:left="360" w:hanging="360"/>
      </w:pPr>
      <w:r>
        <w:rPr>
          <w:rFonts w:ascii="Calibri" w:hAnsi="Calibri"/>
          <w:b/>
          <w:color w:val="525866"/>
          <w:sz w:val="22"/>
        </w:rPr>
        <w:t xml:space="preserve">International Resilience (Positive Read-Through): </w:t>
      </w:r>
      <w:r>
        <w:rPr>
          <w:rFonts w:ascii="Calibri" w:hAnsi="Calibri"/>
          <w:color w:val="525866"/>
          <w:sz w:val="22"/>
        </w:rPr>
        <w:t>PEP’s Q2 total revenue rose +6.4% to $24.18B, beating the Street’s +5.4% estimate, driven by resilient demand for zero-sugar sodas in key international markets. This supports MDLZ’s thesis that international/emerging markets can offset developed market softness.</w:t>
      </w:r>
    </w:p>
    <w:p>
      <w:r>
        <w:rPr>
          <w:rFonts w:ascii="Calibri" w:hAnsi="Calibri"/>
          <w:i/>
          <w:color w:val="525866"/>
          <w:sz w:val="22"/>
        </w:rPr>
        <w:t xml:space="preserve">Source: </w:t>
      </w:r>
      <w:r>
        <w:rPr>
          <w:rFonts w:ascii="Calibri" w:hAnsi="Calibri"/>
          <w:i/>
          <w:color w:val="525866"/>
          <w:sz w:val="22"/>
        </w:rPr>
        <w:t>PepsiCo Q2 2026 Earnings Call Transcript (July 9, 2026); Reuters, CNBC, Barron’s (July 9, 2026).</w:t>
      </w:r>
    </w:p>
    <w:p>
      <w:pPr>
        <w:pStyle w:val="Heading2"/>
      </w:pPr>
      <w:r>
        <w:rPr>
          <w:rFonts w:ascii="Calibri" w:hAnsi="Calibri"/>
          <w:b/>
          <w:color w:val="3B4259"/>
          <w:sz w:val="28"/>
        </w:rPr>
        <w:t>Nestlé (NESN SW) — H1/Q2 2026 Earnings (Reported July 23, 2026)</w:t>
      </w:r>
    </w:p>
    <w:p>
      <w:r>
        <w:rPr>
          <w:rFonts w:ascii="Calibri" w:hAnsi="Calibri"/>
          <w:b/>
          <w:color w:val="525866"/>
          <w:sz w:val="22"/>
        </w:rPr>
        <w:t xml:space="preserve">Relevance to MDLZ: </w:t>
      </w:r>
      <w:r>
        <w:rPr>
          <w:rFonts w:ascii="Calibri" w:hAnsi="Calibri"/>
          <w:color w:val="525866"/>
          <w:sz w:val="22"/>
        </w:rPr>
        <w:t>Nestlé is the most direct global peer in snacks and confectionery, with significant overlap in chocolate, biscuits, and emerging markets. Nestlé’s H1 2026 results and H2 outlook are the highest-quality read-through available for MDLZ’s Q2 print.</w:t>
      </w:r>
    </w:p>
    <w:p>
      <w:pPr>
        <w:pStyle w:val="ListBullet"/>
        <w:ind w:left="360" w:hanging="360"/>
      </w:pPr>
      <w:r>
        <w:rPr>
          <w:rFonts w:ascii="Calibri" w:hAnsi="Calibri"/>
          <w:b/>
          <w:color w:val="525866"/>
          <w:sz w:val="22"/>
        </w:rPr>
        <w:t xml:space="preserve">Snacks &amp; Confectionery Demand Strong (Positive Read-Through): </w:t>
      </w:r>
      <w:r>
        <w:rPr>
          <w:rFonts w:ascii="Calibri" w:hAnsi="Calibri"/>
          <w:color w:val="525866"/>
          <w:sz w:val="22"/>
        </w:rPr>
        <w:t xml:space="preserve">Nestlé’s “Food and Snacks” category delivered “consistent good growth with a balanced profile of rig and pricing” in H1 2026, including </w:t>
      </w:r>
      <w:r>
        <w:rPr>
          <w:rFonts w:ascii="Calibri" w:hAnsi="Calibri"/>
          <w:b/>
          <w:color w:val="525866"/>
          <w:sz w:val="22"/>
        </w:rPr>
        <w:t>double-digit volume-led growth in emerging markets</w:t>
      </w:r>
      <w:r>
        <w:rPr>
          <w:rFonts w:ascii="Calibri" w:hAnsi="Calibri"/>
          <w:color w:val="525866"/>
          <w:sz w:val="22"/>
        </w:rPr>
        <w:t xml:space="preserve"> where Nestlé generates more than $5B in annual sales. This is a strong positive read-through for MDLZ’s emerging markets snack and chocolate business, which grew 6.3% organically in Q1 2026.</w:t>
      </w:r>
    </w:p>
    <w:p>
      <w:pPr>
        <w:pStyle w:val="ListBullet"/>
        <w:ind w:left="360" w:hanging="360"/>
      </w:pPr>
      <w:r>
        <w:rPr>
          <w:rFonts w:ascii="Calibri" w:hAnsi="Calibri"/>
          <w:b/>
          <w:color w:val="525866"/>
          <w:sz w:val="22"/>
        </w:rPr>
        <w:t xml:space="preserve">Cocoa Cost Tailwind Building for H2 (Positive Read-Through): </w:t>
      </w:r>
      <w:r>
        <w:rPr>
          <w:rFonts w:ascii="Calibri" w:hAnsi="Calibri"/>
          <w:color w:val="525866"/>
          <w:sz w:val="22"/>
        </w:rPr>
        <w:t xml:space="preserve">Nestlé explicitly stated it expects “H2 margin to benefit from </w:t>
      </w:r>
      <w:r>
        <w:rPr>
          <w:rFonts w:ascii="Calibri" w:hAnsi="Calibri"/>
          <w:b/>
          <w:color w:val="525866"/>
          <w:sz w:val="22"/>
        </w:rPr>
        <w:t>lower coffee and cocoa costs</w:t>
      </w:r>
      <w:r>
        <w:rPr>
          <w:rFonts w:ascii="Calibri" w:hAnsi="Calibri"/>
          <w:color w:val="525866"/>
          <w:sz w:val="22"/>
        </w:rPr>
        <w:t xml:space="preserve"> impacting the P&amp;L and further cost savings.” This is a meaningful positive signal for MDLZ, which has been absorbing elevated cocoa inventory costs through H1 2026 and where any earlier-than-expected normalization would be a catalyst for a guidance raise.</w:t>
      </w:r>
    </w:p>
    <w:p>
      <w:pPr>
        <w:pStyle w:val="ListBullet"/>
        <w:ind w:left="360" w:hanging="360"/>
      </w:pPr>
      <w:r>
        <w:rPr>
          <w:rFonts w:ascii="Calibri" w:hAnsi="Calibri"/>
          <w:b/>
          <w:color w:val="525866"/>
          <w:sz w:val="22"/>
        </w:rPr>
        <w:t xml:space="preserve">Volume (RIG) Acceleration (Positive Read-Through): </w:t>
      </w:r>
      <w:r>
        <w:rPr>
          <w:rFonts w:ascii="Calibri" w:hAnsi="Calibri"/>
          <w:color w:val="525866"/>
          <w:sz w:val="22"/>
        </w:rPr>
        <w:t>Nestlé’s real internal growth (volume) accelerated from +1.2% in Q1 to +1.8% in Q2, with “all categories RIG positive in Q2.” This broad-based volume recovery in snacks and confectionery is a positive read-through for MDLZ’s own volume/mix trajectory, where the Street is modeling −1.2% for Q2 but management has guided for sequential improvement.</w:t>
      </w:r>
    </w:p>
    <w:p>
      <w:pPr>
        <w:pStyle w:val="ListBullet"/>
        <w:ind w:left="360" w:hanging="360"/>
      </w:pPr>
      <w:r>
        <w:rPr>
          <w:rFonts w:ascii="Calibri" w:hAnsi="Calibri"/>
          <w:b/>
          <w:color w:val="525866"/>
          <w:sz w:val="22"/>
        </w:rPr>
        <w:t xml:space="preserve">Middle East Conflict Headwind Confirmed (Negative Read-Through): </w:t>
      </w:r>
      <w:r>
        <w:rPr>
          <w:rFonts w:ascii="Calibri" w:hAnsi="Calibri"/>
          <w:color w:val="525866"/>
          <w:sz w:val="22"/>
        </w:rPr>
        <w:t>Nestlé flagged “higher transportation and energy costs arising from the Middle East conflict” as an H2 headwind, consistent with MDLZ’s own Q1 commentary. Both companies face similar unhedged cost pressures in certain regulated markets.</w:t>
      </w:r>
    </w:p>
    <w:p>
      <w:pPr>
        <w:pStyle w:val="ListBullet"/>
        <w:ind w:left="360" w:hanging="360"/>
      </w:pPr>
      <w:r>
        <w:rPr>
          <w:rFonts w:ascii="Calibri" w:hAnsi="Calibri"/>
          <w:b/>
          <w:color w:val="525866"/>
          <w:sz w:val="22"/>
        </w:rPr>
        <w:t xml:space="preserve">European Retailer Dynamics (Mixed): </w:t>
      </w:r>
      <w:r>
        <w:rPr>
          <w:rFonts w:ascii="Calibri" w:hAnsi="Calibri"/>
          <w:color w:val="525866"/>
          <w:sz w:val="22"/>
        </w:rPr>
        <w:t>Nestlé noted European “customer delistings in the quarter” in “coffee and confectionery” as a “phasing thing” related to input cost negotiations. MDLZ management stated at Q1 that European retailer negotiations are “almost entirely done,” suggesting MDLZ may be better positioned than Nestlé on this front.</w:t>
      </w:r>
    </w:p>
    <w:p>
      <w:pPr>
        <w:pStyle w:val="ListBullet"/>
        <w:ind w:left="360" w:hanging="360"/>
      </w:pPr>
      <w:r>
        <w:rPr>
          <w:rFonts w:ascii="Calibri" w:hAnsi="Calibri"/>
          <w:b/>
          <w:color w:val="525866"/>
          <w:sz w:val="22"/>
        </w:rPr>
        <w:t xml:space="preserve">Emerging Markets Strength Broad-Based (Positive Read-Through): </w:t>
      </w:r>
      <w:r>
        <w:rPr>
          <w:rFonts w:ascii="Calibri" w:hAnsi="Calibri"/>
          <w:color w:val="525866"/>
          <w:sz w:val="22"/>
        </w:rPr>
        <w:t>Nestlé highlighted “strength in emerging markets” with India “very, very strong” and ASEAN/Japan “very strong.” China is “now stable” after completing inventory reduction. This mirrors MDLZ’s own emerging markets narrative and supports the thesis that MDLZ’s ~40% emerging markets exposure is a durable growth engine.</w:t>
      </w:r>
    </w:p>
    <w:p>
      <w:pPr>
        <w:pStyle w:val="ListBullet"/>
        <w:ind w:left="360" w:hanging="360"/>
      </w:pPr>
      <w:r>
        <w:rPr>
          <w:rFonts w:ascii="Calibri" w:hAnsi="Calibri"/>
          <w:b/>
          <w:color w:val="525866"/>
          <w:sz w:val="22"/>
        </w:rPr>
        <w:t xml:space="preserve">FY2026 Guidance Tightened Upward (Positive Read-Through): </w:t>
      </w:r>
      <w:r>
        <w:rPr>
          <w:rFonts w:ascii="Calibri" w:hAnsi="Calibri"/>
          <w:color w:val="525866"/>
          <w:sz w:val="22"/>
        </w:rPr>
        <w:t>Nestlé tightened its FY2026 organic growth guidance to “3–4%” from “around 3% up to 4%,” a modest upgrade. While MDLZ’s guidance range (flat to +2%) is structurally lower due to its greater developed market exposure, the direction of Nestlé’s revision is a positive signal for the category.</w:t>
      </w:r>
    </w:p>
    <w:p>
      <w:r>
        <w:rPr>
          <w:rFonts w:ascii="Calibri" w:hAnsi="Calibri"/>
          <w:i/>
          <w:color w:val="525866"/>
          <w:sz w:val="22"/>
        </w:rPr>
        <w:t xml:space="preserve">Source: </w:t>
      </w:r>
      <w:r>
        <w:rPr>
          <w:rFonts w:ascii="Calibri" w:hAnsi="Calibri"/>
          <w:i/>
          <w:color w:val="525866"/>
          <w:sz w:val="22"/>
        </w:rPr>
        <w:t>Nestlé H1/Q2 2026 Earnings Call Transcript (July 23, 2026); WSJ (July 23, 2026).</w:t>
      </w:r>
    </w:p>
    <w:p>
      <w:pPr>
        <w:pStyle w:val="Heading2"/>
      </w:pPr>
      <w:r>
        <w:rPr>
          <w:rFonts w:ascii="Calibri" w:hAnsi="Calibri"/>
          <w:b/>
          <w:color w:val="3B4259"/>
          <w:sz w:val="28"/>
        </w:rPr>
        <w:t>Kraft Heinz (KHC) — Deutsche Bank Global Consumer Conference (June 3, 2026)</w:t>
      </w:r>
    </w:p>
    <w:p>
      <w:r>
        <w:rPr>
          <w:rFonts w:ascii="Calibri" w:hAnsi="Calibri"/>
          <w:b/>
          <w:color w:val="525866"/>
          <w:sz w:val="22"/>
        </w:rPr>
        <w:t xml:space="preserve">Relevance to MDLZ: </w:t>
      </w:r>
      <w:r>
        <w:rPr>
          <w:rFonts w:ascii="Calibri" w:hAnsi="Calibri"/>
          <w:color w:val="525866"/>
          <w:sz w:val="22"/>
        </w:rPr>
        <w:t>KHC’s commentary at the Deutsche Bank conference covers the April–June 2026 period and provides read-through on North America consumer demand, retailer behavior, and pricing dynamics in the packaged food category.</w:t>
      </w:r>
    </w:p>
    <w:p>
      <w:pPr>
        <w:pStyle w:val="ListBullet"/>
        <w:ind w:left="360" w:hanging="360"/>
      </w:pPr>
      <w:r>
        <w:rPr>
          <w:rFonts w:ascii="Calibri" w:hAnsi="Calibri"/>
          <w:b/>
          <w:color w:val="525866"/>
          <w:sz w:val="22"/>
        </w:rPr>
        <w:t xml:space="preserve">North America Consumer Stress Confirmed (Negative Read-Through): </w:t>
      </w:r>
      <w:r>
        <w:rPr>
          <w:rFonts w:ascii="Calibri" w:hAnsi="Calibri"/>
          <w:color w:val="525866"/>
          <w:sz w:val="22"/>
        </w:rPr>
        <w:t>KHC CFO Andre Maciel confirmed the company anticipates a “100 bps headwind linked to SNAP reductions” and noted “the latest 8 weeks or so, it’s a lot affecting the sector.” This is a direct negative read-through for MDLZ’s North America biscuit business, where SNAP-dependent consumers represent a meaningful portion of the value channel.</w:t>
      </w:r>
    </w:p>
    <w:p>
      <w:pPr>
        <w:pStyle w:val="ListBullet"/>
        <w:ind w:left="360" w:hanging="360"/>
      </w:pPr>
      <w:r>
        <w:rPr>
          <w:rFonts w:ascii="Calibri" w:hAnsi="Calibri"/>
          <w:b/>
          <w:color w:val="525866"/>
          <w:sz w:val="22"/>
        </w:rPr>
        <w:t xml:space="preserve">Retailer Tone Constructive (Positive Read-Through): </w:t>
      </w:r>
      <w:r>
        <w:rPr>
          <w:rFonts w:ascii="Calibri" w:hAnsi="Calibri"/>
          <w:color w:val="525866"/>
          <w:sz w:val="22"/>
        </w:rPr>
        <w:t>KHC CEO Steven Cahillane reported that “the reception from the retailers around our reinvestment has been extremely positive,” with retailers viewing KHC as a “tailwind” rather than a “headwind.” MDLZ management made similar comments at Q1 about European retailer negotiations being “in good terms,” and this constructive retailer dynamic is a positive read-through for MDLZ’s shelf positioning and promotional support.</w:t>
      </w:r>
    </w:p>
    <w:p>
      <w:pPr>
        <w:pStyle w:val="ListBullet"/>
        <w:ind w:left="360" w:hanging="360"/>
      </w:pPr>
      <w:r>
        <w:rPr>
          <w:rFonts w:ascii="Calibri" w:hAnsi="Calibri"/>
          <w:b/>
          <w:color w:val="525866"/>
          <w:sz w:val="22"/>
        </w:rPr>
        <w:t xml:space="preserve">Pricing Strategy Shifting to Affordability (Neutral): </w:t>
      </w:r>
      <w:r>
        <w:rPr>
          <w:rFonts w:ascii="Calibri" w:hAnsi="Calibri"/>
          <w:color w:val="525866"/>
          <w:sz w:val="22"/>
        </w:rPr>
        <w:t>KHC is deploying “opening price points” and “joint business plans with retailers” to maintain shelf space, with a “much more surgical approach” to pricing. This mirrors MDLZ’s own PPA (Price Pack Architecture) strategy in North America and suggests the category is broadly moving from pricing-led to volume-led growth — consistent with MDLZ’s guidance for sequential volume improvement.</w:t>
      </w:r>
    </w:p>
    <w:p>
      <w:pPr>
        <w:pStyle w:val="ListBullet"/>
        <w:ind w:left="360" w:hanging="360"/>
      </w:pPr>
      <w:r>
        <w:rPr>
          <w:rFonts w:ascii="Calibri" w:hAnsi="Calibri"/>
          <w:b/>
          <w:color w:val="525866"/>
          <w:sz w:val="22"/>
        </w:rPr>
        <w:t xml:space="preserve">Inflation Headwind Elevated (Negative Read-Through): </w:t>
      </w:r>
      <w:r>
        <w:rPr>
          <w:rFonts w:ascii="Calibri" w:hAnsi="Calibri"/>
          <w:color w:val="525866"/>
          <w:sz w:val="22"/>
        </w:rPr>
        <w:t>KHC is “anticipating about 4% of inflation” for 2026, “twice the normal rates,” and is only pricing 20% of that inflation. While MDLZ’s primary inflation driver is cocoa (not the same basket as KHC), the broader inflationary environment for packaged food inputs is a shared headwind.</w:t>
      </w:r>
    </w:p>
    <w:p>
      <w:pPr>
        <w:pStyle w:val="ListBullet"/>
        <w:ind w:left="360" w:hanging="360"/>
      </w:pPr>
      <w:r>
        <w:rPr>
          <w:rFonts w:ascii="Calibri" w:hAnsi="Calibri"/>
          <w:b/>
          <w:color w:val="525866"/>
          <w:sz w:val="22"/>
        </w:rPr>
        <w:t xml:space="preserve">Margin Floor Confirmed (Positive Read-Through): </w:t>
      </w:r>
      <w:r>
        <w:rPr>
          <w:rFonts w:ascii="Calibri" w:hAnsi="Calibri"/>
          <w:color w:val="525866"/>
          <w:sz w:val="22"/>
        </w:rPr>
        <w:t>KHC CEO confirmed “2026 is a margin floor” — a constructive signal that the worst of the margin compression cycle for packaged food is behind the sector, consistent with MDLZ’s own narrative that 2027 will see meaningful margin expansion as cocoa costs normalize.</w:t>
      </w:r>
    </w:p>
    <w:p>
      <w:r>
        <w:rPr>
          <w:rFonts w:ascii="Calibri" w:hAnsi="Calibri"/>
          <w:i/>
          <w:color w:val="525866"/>
          <w:sz w:val="22"/>
        </w:rPr>
        <w:t xml:space="preserve">Source: </w:t>
      </w:r>
      <w:r>
        <w:rPr>
          <w:rFonts w:ascii="Calibri" w:hAnsi="Calibri"/>
          <w:i/>
          <w:color w:val="525866"/>
          <w:sz w:val="22"/>
        </w:rPr>
        <w:t>Kraft Heinz Deutsche Bank Global Consumer Conference Transcript (June 3, 2026).</w:t>
      </w:r>
    </w:p>
    <w:p>
      <w:pPr>
        <w:pStyle w:val="Heading2"/>
      </w:pPr>
      <w:r>
        <w:rPr>
          <w:rFonts w:ascii="Calibri" w:hAnsi="Calibri"/>
          <w:b/>
          <w:color w:val="3B4259"/>
          <w:sz w:val="28"/>
        </w:rPr>
        <w:t>General Mills (GIS) — Q4 FY2026 Earnings (Reported July 1, 2026) &amp; Deutsche Bank Conference (June 4, 2026)</w:t>
      </w:r>
    </w:p>
    <w:p>
      <w:r>
        <w:rPr>
          <w:rFonts w:ascii="Calibri" w:hAnsi="Calibri"/>
          <w:b/>
          <w:color w:val="525866"/>
          <w:sz w:val="22"/>
        </w:rPr>
        <w:t xml:space="preserve">Relevance to MDLZ: </w:t>
      </w:r>
      <w:r>
        <w:rPr>
          <w:rFonts w:ascii="Calibri" w:hAnsi="Calibri"/>
          <w:color w:val="525866"/>
          <w:sz w:val="22"/>
        </w:rPr>
        <w:t>GIS’s commentary covers the April–June 2026 period (GIS fiscal Q4 ended May 2026) and provides read-through on North America snack category trends, consumer behavior, and the broader packaged food operating environment.</w:t>
      </w:r>
    </w:p>
    <w:p>
      <w:pPr>
        <w:pStyle w:val="ListBullet"/>
        <w:ind w:left="360" w:hanging="360"/>
      </w:pPr>
      <w:r>
        <w:rPr>
          <w:rFonts w:ascii="Calibri" w:hAnsi="Calibri"/>
          <w:b/>
          <w:color w:val="525866"/>
          <w:sz w:val="22"/>
        </w:rPr>
        <w:t xml:space="preserve">Category Slowdown in Q4 (Negative Read-Through): </w:t>
      </w:r>
      <w:r>
        <w:rPr>
          <w:rFonts w:ascii="Calibri" w:hAnsi="Calibri"/>
          <w:color w:val="525866"/>
          <w:sz w:val="22"/>
        </w:rPr>
        <w:t>GIS noted that “as we just closed our fiscal year in Q4, we saw our categories slow down by about 1 point.” The company is “not anticipating an improved consumer environment” in the coming year and expects “value-seeking behaviors to continue.” This is a negative read-through for MDLZ’s North America biscuit category, where the Street is already modeling only +0.4% organic growth.</w:t>
      </w:r>
    </w:p>
    <w:p>
      <w:pPr>
        <w:pStyle w:val="ListBullet"/>
        <w:ind w:left="360" w:hanging="360"/>
      </w:pPr>
      <w:r>
        <w:rPr>
          <w:rFonts w:ascii="Calibri" w:hAnsi="Calibri"/>
          <w:b/>
          <w:color w:val="525866"/>
          <w:sz w:val="22"/>
        </w:rPr>
        <w:t xml:space="preserve">Volume Recovery Where Invested (Positive Read-Through): </w:t>
      </w:r>
      <w:r>
        <w:rPr>
          <w:rFonts w:ascii="Calibri" w:hAnsi="Calibri"/>
          <w:color w:val="525866"/>
          <w:sz w:val="22"/>
        </w:rPr>
        <w:t>GIS reported that base volume on brands where it invested in price is “up about 1%” exiting fiscal 2026, a significant improvement from “down 10%” a year prior. This demonstrates that targeted price investment and brand reinvestment can restore volume — consistent with MDLZ’s own strategy of stepping up working media and brand investment in 2026.</w:t>
      </w:r>
    </w:p>
    <w:p>
      <w:pPr>
        <w:pStyle w:val="ListBullet"/>
        <w:ind w:left="360" w:hanging="360"/>
      </w:pPr>
      <w:r>
        <w:rPr>
          <w:rFonts w:ascii="Calibri" w:hAnsi="Calibri"/>
          <w:b/>
          <w:color w:val="525866"/>
          <w:sz w:val="22"/>
        </w:rPr>
        <w:t xml:space="preserve">Consumer Stress Broad-Based (Negative Read-Through): </w:t>
      </w:r>
      <w:r>
        <w:rPr>
          <w:rFonts w:ascii="Calibri" w:hAnsi="Calibri"/>
          <w:color w:val="525866"/>
          <w:sz w:val="22"/>
        </w:rPr>
        <w:t>GIS CFO Kofi Bruce stated the company is “not building fiscal ’27 plans on any real improvement in the consumer environment” and expects “value-seeking behaviors to continue.” The U.S. consumer is described as “stressed” due to “everyday inflation, SNAP reductions, and gas prices.” This is consistent with MDLZ’s own cautious North America outlook.</w:t>
      </w:r>
    </w:p>
    <w:p>
      <w:pPr>
        <w:pStyle w:val="ListBullet"/>
        <w:ind w:left="360" w:hanging="360"/>
      </w:pPr>
      <w:r>
        <w:rPr>
          <w:rFonts w:ascii="Calibri" w:hAnsi="Calibri"/>
          <w:b/>
          <w:color w:val="525866"/>
          <w:sz w:val="22"/>
        </w:rPr>
        <w:t xml:space="preserve">Inflation Outlook 3–4% (Negative Read-Through): </w:t>
      </w:r>
      <w:r>
        <w:rPr>
          <w:rFonts w:ascii="Calibri" w:hAnsi="Calibri"/>
          <w:color w:val="525866"/>
          <w:sz w:val="22"/>
        </w:rPr>
        <w:t>GIS projects “base inflation somewhere in the 3% to 4% range” for the coming year, with “some pressure from oil prices” depending on the duration of the Iran conflict. This is consistent with MDLZ’s own cost headwind narrative and supports the view that the sector-wide margin recovery will be gradual.</w:t>
      </w:r>
    </w:p>
    <w:p>
      <w:r>
        <w:rPr>
          <w:rFonts w:ascii="Calibri" w:hAnsi="Calibri"/>
          <w:i/>
          <w:color w:val="525866"/>
          <w:sz w:val="22"/>
        </w:rPr>
        <w:t xml:space="preserve">Source: </w:t>
      </w:r>
      <w:r>
        <w:rPr>
          <w:rFonts w:ascii="Calibri" w:hAnsi="Calibri"/>
          <w:i/>
          <w:color w:val="525866"/>
          <w:sz w:val="22"/>
        </w:rPr>
        <w:t>General Mills Q4 FY2026 Earnings Call Transcript (July 1, 2026); General Mills Deutsche Bank Global Consumer Conference Transcript (June 4, 2026).</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Commentary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MDLZ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PEP</w:t>
            </w:r>
          </w:p>
        </w:tc>
        <w:tc>
          <w:tcPr>
            <w:tcW w:type="dxa" w:w="1728"/>
          </w:tcPr>
          <w:p>
            <w:r>
              <w:rPr>
                <w:rFonts w:ascii="Calibri" w:hAnsi="Calibri"/>
                <w:sz w:val="22"/>
              </w:rPr>
              <w:t>Jul 9, 2026</w:t>
            </w:r>
          </w:p>
        </w:tc>
        <w:tc>
          <w:tcPr>
            <w:tcW w:type="dxa" w:w="1728"/>
          </w:tcPr>
          <w:p>
            <w:r>
              <w:rPr>
                <w:rFonts w:ascii="Calibri" w:hAnsi="Calibri"/>
                <w:sz w:val="22"/>
              </w:rPr>
              <w:t>NA food organic sales −2%; consumer budgets tightening</w:t>
            </w:r>
          </w:p>
        </w:tc>
        <w:tc>
          <w:tcPr>
            <w:tcW w:type="dxa" w:w="1728"/>
          </w:tcPr>
          <w:p>
            <w:r>
              <w:rPr>
                <w:rFonts w:ascii="Calibri" w:hAnsi="Calibri"/>
                <w:sz w:val="22"/>
              </w:rPr>
              <w:t>NA biscuit weakness confirmed; low bar for MDLZ NA</w:t>
            </w:r>
          </w:p>
        </w:tc>
        <w:tc>
          <w:tcPr>
            <w:tcW w:type="dxa" w:w="1728"/>
          </w:tcPr>
          <w:p>
            <w:r>
              <w:rPr>
                <w:rFonts w:ascii="Calibri" w:hAnsi="Calibri"/>
                <w:b/>
                <w:color w:val="E5484D"/>
                <w:sz w:val="22"/>
              </w:rPr>
              <w:t>Negative</w:t>
            </w:r>
          </w:p>
        </w:tc>
      </w:tr>
      <w:tr>
        <w:tc>
          <w:tcPr>
            <w:tcW w:type="dxa" w:w="1728"/>
          </w:tcPr>
          <w:p>
            <w:r>
              <w:rPr>
                <w:rFonts w:ascii="Calibri" w:hAnsi="Calibri"/>
                <w:sz w:val="22"/>
              </w:rPr>
              <w:t>PEP</w:t>
            </w:r>
          </w:p>
        </w:tc>
        <w:tc>
          <w:tcPr>
            <w:tcW w:type="dxa" w:w="1728"/>
          </w:tcPr>
          <w:p>
            <w:r>
              <w:rPr>
                <w:rFonts w:ascii="Calibri" w:hAnsi="Calibri"/>
                <w:sz w:val="22"/>
              </w:rPr>
              <w:t>Jul 9, 2026</w:t>
            </w:r>
          </w:p>
        </w:tc>
        <w:tc>
          <w:tcPr>
            <w:tcW w:type="dxa" w:w="1728"/>
          </w:tcPr>
          <w:p>
            <w:r>
              <w:rPr>
                <w:rFonts w:ascii="Calibri" w:hAnsi="Calibri"/>
                <w:sz w:val="22"/>
              </w:rPr>
              <w:t>FY2026 guidance maintained; international resilient</w:t>
            </w:r>
          </w:p>
        </w:tc>
        <w:tc>
          <w:tcPr>
            <w:tcW w:type="dxa" w:w="1728"/>
          </w:tcPr>
          <w:p>
            <w:r>
              <w:rPr>
                <w:rFonts w:ascii="Calibri" w:hAnsi="Calibri"/>
                <w:sz w:val="22"/>
              </w:rPr>
              <w:t>Supports MDLZ guidance reaffirmation posture</w:t>
            </w:r>
          </w:p>
        </w:tc>
        <w:tc>
          <w:tcPr>
            <w:tcW w:type="dxa" w:w="1728"/>
          </w:tcPr>
          <w:p>
            <w:r>
              <w:rPr>
                <w:rFonts w:ascii="Calibri" w:hAnsi="Calibri"/>
                <w:b/>
                <w:color w:val="30A46C"/>
                <w:sz w:val="22"/>
              </w:rPr>
              <w:t>Positive</w:t>
            </w:r>
          </w:p>
        </w:tc>
      </w:tr>
      <w:tr>
        <w:tc>
          <w:tcPr>
            <w:tcW w:type="dxa" w:w="1728"/>
          </w:tcPr>
          <w:p>
            <w:r>
              <w:rPr>
                <w:rFonts w:ascii="Calibri" w:hAnsi="Calibri"/>
                <w:sz w:val="22"/>
              </w:rPr>
              <w:t>NESN SW</w:t>
            </w:r>
          </w:p>
        </w:tc>
        <w:tc>
          <w:tcPr>
            <w:tcW w:type="dxa" w:w="1728"/>
          </w:tcPr>
          <w:p>
            <w:r>
              <w:rPr>
                <w:rFonts w:ascii="Calibri" w:hAnsi="Calibri"/>
                <w:sz w:val="22"/>
              </w:rPr>
              <w:t>Jul 23, 2026</w:t>
            </w:r>
          </w:p>
        </w:tc>
        <w:tc>
          <w:tcPr>
            <w:tcW w:type="dxa" w:w="1728"/>
          </w:tcPr>
          <w:p>
            <w:r>
              <w:rPr>
                <w:rFonts w:ascii="Calibri" w:hAnsi="Calibri"/>
                <w:sz w:val="22"/>
              </w:rPr>
              <w:t>Snacks/confectionery double-digit EM volume growth</w:t>
            </w:r>
          </w:p>
        </w:tc>
        <w:tc>
          <w:tcPr>
            <w:tcW w:type="dxa" w:w="1728"/>
          </w:tcPr>
          <w:p>
            <w:r>
              <w:rPr>
                <w:rFonts w:ascii="Calibri" w:hAnsi="Calibri"/>
                <w:sz w:val="22"/>
              </w:rPr>
              <w:t>Strong EM snack demand supports MDLZ EM thesis</w:t>
            </w:r>
          </w:p>
        </w:tc>
        <w:tc>
          <w:tcPr>
            <w:tcW w:type="dxa" w:w="1728"/>
          </w:tcPr>
          <w:p>
            <w:r>
              <w:rPr>
                <w:rFonts w:ascii="Calibri" w:hAnsi="Calibri"/>
                <w:b/>
                <w:color w:val="30A46C"/>
                <w:sz w:val="22"/>
              </w:rPr>
              <w:t>Positive</w:t>
            </w:r>
          </w:p>
        </w:tc>
      </w:tr>
      <w:tr>
        <w:tc>
          <w:tcPr>
            <w:tcW w:type="dxa" w:w="1728"/>
          </w:tcPr>
          <w:p>
            <w:r>
              <w:rPr>
                <w:rFonts w:ascii="Calibri" w:hAnsi="Calibri"/>
                <w:sz w:val="22"/>
              </w:rPr>
              <w:t>NESN SW</w:t>
            </w:r>
          </w:p>
        </w:tc>
        <w:tc>
          <w:tcPr>
            <w:tcW w:type="dxa" w:w="1728"/>
          </w:tcPr>
          <w:p>
            <w:r>
              <w:rPr>
                <w:rFonts w:ascii="Calibri" w:hAnsi="Calibri"/>
                <w:sz w:val="22"/>
              </w:rPr>
              <w:t>Jul 23, 2026</w:t>
            </w:r>
          </w:p>
        </w:tc>
        <w:tc>
          <w:tcPr>
            <w:tcW w:type="dxa" w:w="1728"/>
          </w:tcPr>
          <w:p>
            <w:r>
              <w:rPr>
                <w:rFonts w:ascii="Calibri" w:hAnsi="Calibri"/>
                <w:sz w:val="22"/>
              </w:rPr>
              <w:t>H2 margin to benefit from lower cocoa costs</w:t>
            </w:r>
          </w:p>
        </w:tc>
        <w:tc>
          <w:tcPr>
            <w:tcW w:type="dxa" w:w="1728"/>
          </w:tcPr>
          <w:p>
            <w:r>
              <w:rPr>
                <w:rFonts w:ascii="Calibri" w:hAnsi="Calibri"/>
                <w:sz w:val="22"/>
              </w:rPr>
              <w:t>Cocoa tailwind building; potential MDLZ guidance raise catalyst</w:t>
            </w:r>
          </w:p>
        </w:tc>
        <w:tc>
          <w:tcPr>
            <w:tcW w:type="dxa" w:w="1728"/>
          </w:tcPr>
          <w:p>
            <w:r>
              <w:rPr>
                <w:rFonts w:ascii="Calibri" w:hAnsi="Calibri"/>
                <w:b/>
                <w:color w:val="30A46C"/>
                <w:sz w:val="22"/>
              </w:rPr>
              <w:t>Positive</w:t>
            </w:r>
          </w:p>
        </w:tc>
      </w:tr>
      <w:tr>
        <w:tc>
          <w:tcPr>
            <w:tcW w:type="dxa" w:w="1728"/>
          </w:tcPr>
          <w:p>
            <w:r>
              <w:rPr>
                <w:rFonts w:ascii="Calibri" w:hAnsi="Calibri"/>
                <w:sz w:val="22"/>
              </w:rPr>
              <w:t>NESN SW</w:t>
            </w:r>
          </w:p>
        </w:tc>
        <w:tc>
          <w:tcPr>
            <w:tcW w:type="dxa" w:w="1728"/>
          </w:tcPr>
          <w:p>
            <w:r>
              <w:rPr>
                <w:rFonts w:ascii="Calibri" w:hAnsi="Calibri"/>
                <w:sz w:val="22"/>
              </w:rPr>
              <w:t>Jul 23, 2026</w:t>
            </w:r>
          </w:p>
        </w:tc>
        <w:tc>
          <w:tcPr>
            <w:tcW w:type="dxa" w:w="1728"/>
          </w:tcPr>
          <w:p>
            <w:r>
              <w:rPr>
                <w:rFonts w:ascii="Calibri" w:hAnsi="Calibri"/>
                <w:sz w:val="22"/>
              </w:rPr>
              <w:t>Middle East conflict: higher transport/energy costs in H2</w:t>
            </w:r>
          </w:p>
        </w:tc>
        <w:tc>
          <w:tcPr>
            <w:tcW w:type="dxa" w:w="1728"/>
          </w:tcPr>
          <w:p>
            <w:r>
              <w:rPr>
                <w:rFonts w:ascii="Calibri" w:hAnsi="Calibri"/>
                <w:sz w:val="22"/>
              </w:rPr>
              <w:t>Shared headwind; consistent with MDLZ Q1 commentary</w:t>
            </w:r>
          </w:p>
        </w:tc>
        <w:tc>
          <w:tcPr>
            <w:tcW w:type="dxa" w:w="1728"/>
          </w:tcPr>
          <w:p>
            <w:r>
              <w:rPr>
                <w:rFonts w:ascii="Calibri" w:hAnsi="Calibri"/>
                <w:b/>
                <w:color w:val="E5484D"/>
                <w:sz w:val="22"/>
              </w:rPr>
              <w:t>Negative</w:t>
            </w:r>
          </w:p>
        </w:tc>
      </w:tr>
      <w:tr>
        <w:tc>
          <w:tcPr>
            <w:tcW w:type="dxa" w:w="1728"/>
          </w:tcPr>
          <w:p>
            <w:r>
              <w:rPr>
                <w:rFonts w:ascii="Calibri" w:hAnsi="Calibri"/>
                <w:sz w:val="22"/>
              </w:rPr>
              <w:t>KHC</w:t>
            </w:r>
          </w:p>
        </w:tc>
        <w:tc>
          <w:tcPr>
            <w:tcW w:type="dxa" w:w="1728"/>
          </w:tcPr>
          <w:p>
            <w:r>
              <w:rPr>
                <w:rFonts w:ascii="Calibri" w:hAnsi="Calibri"/>
                <w:sz w:val="22"/>
              </w:rPr>
              <w:t>Jun 3, 2026</w:t>
            </w:r>
          </w:p>
        </w:tc>
        <w:tc>
          <w:tcPr>
            <w:tcW w:type="dxa" w:w="1728"/>
          </w:tcPr>
          <w:p>
            <w:r>
              <w:rPr>
                <w:rFonts w:ascii="Calibri" w:hAnsi="Calibri"/>
                <w:sz w:val="22"/>
              </w:rPr>
              <w:t>SNAP reductions hitting sector; 100bps headwind</w:t>
            </w:r>
          </w:p>
        </w:tc>
        <w:tc>
          <w:tcPr>
            <w:tcW w:type="dxa" w:w="1728"/>
          </w:tcPr>
          <w:p>
            <w:r>
              <w:rPr>
                <w:rFonts w:ascii="Calibri" w:hAnsi="Calibri"/>
                <w:sz w:val="22"/>
              </w:rPr>
              <w:t>Value channel pressure for MDLZ NA biscuits</w:t>
            </w:r>
          </w:p>
        </w:tc>
        <w:tc>
          <w:tcPr>
            <w:tcW w:type="dxa" w:w="1728"/>
          </w:tcPr>
          <w:p>
            <w:r>
              <w:rPr>
                <w:rFonts w:ascii="Calibri" w:hAnsi="Calibri"/>
                <w:b/>
                <w:color w:val="E5484D"/>
                <w:sz w:val="22"/>
              </w:rPr>
              <w:t>Negative</w:t>
            </w:r>
          </w:p>
        </w:tc>
      </w:tr>
      <w:tr>
        <w:tc>
          <w:tcPr>
            <w:tcW w:type="dxa" w:w="1728"/>
          </w:tcPr>
          <w:p>
            <w:r>
              <w:rPr>
                <w:rFonts w:ascii="Calibri" w:hAnsi="Calibri"/>
                <w:sz w:val="22"/>
              </w:rPr>
              <w:t>KHC</w:t>
            </w:r>
          </w:p>
        </w:tc>
        <w:tc>
          <w:tcPr>
            <w:tcW w:type="dxa" w:w="1728"/>
          </w:tcPr>
          <w:p>
            <w:r>
              <w:rPr>
                <w:rFonts w:ascii="Calibri" w:hAnsi="Calibri"/>
                <w:sz w:val="22"/>
              </w:rPr>
              <w:t>Jun 3, 2026</w:t>
            </w:r>
          </w:p>
        </w:tc>
        <w:tc>
          <w:tcPr>
            <w:tcW w:type="dxa" w:w="1728"/>
          </w:tcPr>
          <w:p>
            <w:r>
              <w:rPr>
                <w:rFonts w:ascii="Calibri" w:hAnsi="Calibri"/>
                <w:sz w:val="22"/>
              </w:rPr>
              <w:t>Retailer reception “extremely positive”; 2026 is margin floor</w:t>
            </w:r>
          </w:p>
        </w:tc>
        <w:tc>
          <w:tcPr>
            <w:tcW w:type="dxa" w:w="1728"/>
          </w:tcPr>
          <w:p>
            <w:r>
              <w:rPr>
                <w:rFonts w:ascii="Calibri" w:hAnsi="Calibri"/>
                <w:sz w:val="22"/>
              </w:rPr>
              <w:t>Constructive retailer dynamic; sector margin trough signal</w:t>
            </w:r>
          </w:p>
        </w:tc>
        <w:tc>
          <w:tcPr>
            <w:tcW w:type="dxa" w:w="1728"/>
          </w:tcPr>
          <w:p>
            <w:r>
              <w:rPr>
                <w:rFonts w:ascii="Calibri" w:hAnsi="Calibri"/>
                <w:b/>
                <w:color w:val="30A46C"/>
                <w:sz w:val="22"/>
              </w:rPr>
              <w:t>Positive</w:t>
            </w:r>
          </w:p>
        </w:tc>
      </w:tr>
      <w:tr>
        <w:tc>
          <w:tcPr>
            <w:tcW w:type="dxa" w:w="1728"/>
          </w:tcPr>
          <w:p>
            <w:r>
              <w:rPr>
                <w:rFonts w:ascii="Calibri" w:hAnsi="Calibri"/>
                <w:sz w:val="22"/>
              </w:rPr>
              <w:t>GIS</w:t>
            </w:r>
          </w:p>
        </w:tc>
        <w:tc>
          <w:tcPr>
            <w:tcW w:type="dxa" w:w="1728"/>
          </w:tcPr>
          <w:p>
            <w:r>
              <w:rPr>
                <w:rFonts w:ascii="Calibri" w:hAnsi="Calibri"/>
                <w:sz w:val="22"/>
              </w:rPr>
              <w:t>Jul 1, 2026</w:t>
            </w:r>
          </w:p>
        </w:tc>
        <w:tc>
          <w:tcPr>
            <w:tcW w:type="dxa" w:w="1728"/>
          </w:tcPr>
          <w:p>
            <w:r>
              <w:rPr>
                <w:rFonts w:ascii="Calibri" w:hAnsi="Calibri"/>
                <w:sz w:val="22"/>
              </w:rPr>
              <w:t>Categories slowed ~1pt in Q4; value-seeking behavior persists</w:t>
            </w:r>
          </w:p>
        </w:tc>
        <w:tc>
          <w:tcPr>
            <w:tcW w:type="dxa" w:w="1728"/>
          </w:tcPr>
          <w:p>
            <w:r>
              <w:rPr>
                <w:rFonts w:ascii="Calibri" w:hAnsi="Calibri"/>
                <w:sz w:val="22"/>
              </w:rPr>
              <w:t>NA category softness; low bar for MDLZ NA biscuits</w:t>
            </w:r>
          </w:p>
        </w:tc>
        <w:tc>
          <w:tcPr>
            <w:tcW w:type="dxa" w:w="1728"/>
          </w:tcPr>
          <w:p>
            <w:r>
              <w:rPr>
                <w:rFonts w:ascii="Calibri" w:hAnsi="Calibri"/>
                <w:b/>
                <w:color w:val="E5484D"/>
                <w:sz w:val="22"/>
              </w:rPr>
              <w:t>Negative</w:t>
            </w:r>
          </w:p>
        </w:tc>
      </w:tr>
      <w:tr>
        <w:tc>
          <w:tcPr>
            <w:tcW w:type="dxa" w:w="1728"/>
          </w:tcPr>
          <w:p>
            <w:r>
              <w:rPr>
                <w:rFonts w:ascii="Calibri" w:hAnsi="Calibri"/>
                <w:sz w:val="22"/>
              </w:rPr>
              <w:t>GIS</w:t>
            </w:r>
          </w:p>
        </w:tc>
        <w:tc>
          <w:tcPr>
            <w:tcW w:type="dxa" w:w="1728"/>
          </w:tcPr>
          <w:p>
            <w:r>
              <w:rPr>
                <w:rFonts w:ascii="Calibri" w:hAnsi="Calibri"/>
                <w:sz w:val="22"/>
              </w:rPr>
              <w:t>Jun 4, 2026</w:t>
            </w:r>
          </w:p>
        </w:tc>
        <w:tc>
          <w:tcPr>
            <w:tcW w:type="dxa" w:w="1728"/>
          </w:tcPr>
          <w:p>
            <w:r>
              <w:rPr>
                <w:rFonts w:ascii="Calibri" w:hAnsi="Calibri"/>
                <w:sz w:val="22"/>
              </w:rPr>
              <w:t>Volume up 1% where price invested; brand reinvestment working</w:t>
            </w:r>
          </w:p>
        </w:tc>
        <w:tc>
          <w:tcPr>
            <w:tcW w:type="dxa" w:w="1728"/>
          </w:tcPr>
          <w:p>
            <w:r>
              <w:rPr>
                <w:rFonts w:ascii="Calibri" w:hAnsi="Calibri"/>
                <w:sz w:val="22"/>
              </w:rPr>
              <w:t>Validates MDLZ’s reinvestment strategy for volume recovery</w:t>
            </w:r>
          </w:p>
        </w:tc>
        <w:tc>
          <w:tcPr>
            <w:tcW w:type="dxa" w:w="1728"/>
          </w:tcPr>
          <w:p>
            <w:r>
              <w:rPr>
                <w:rFonts w:ascii="Calibri" w:hAnsi="Calibri"/>
                <w:b/>
                <w:color w:val="30A46C"/>
                <w:sz w:val="22"/>
              </w:rPr>
              <w:t>Positive</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CFO transition</w:t>
      </w:r>
      <w:r>
        <w:rPr>
          <w:rFonts w:ascii="Calibri" w:hAnsi="Calibri"/>
          <w:color w:val="525866"/>
          <w:sz w:val="22"/>
        </w:rPr>
        <w:t xml:space="preserve"> (Amit Banati, effective July 1), which introduces a new voice on the Q2 call but does not alter the strategic or financial outlook. The secondary development is the </w:t>
      </w:r>
      <w:r>
        <w:rPr>
          <w:rFonts w:ascii="Calibri" w:hAnsi="Calibri"/>
          <w:b/>
          <w:color w:val="525866"/>
          <w:sz w:val="22"/>
        </w:rPr>
        <w:t>easing cocoa price environment</w:t>
      </w:r>
      <w:r>
        <w:rPr>
          <w:rFonts w:ascii="Calibri" w:hAnsi="Calibri"/>
          <w:color w:val="525866"/>
          <w:sz w:val="22"/>
        </w:rPr>
        <w:t xml:space="preserve"> — confirmed by both MDLZ management and Nestlé — which is the key catalyst for a potential H2 guidance raise.</w:t>
      </w:r>
    </w:p>
    <w:p>
      <w:pPr>
        <w:pStyle w:val="ListBullet"/>
        <w:ind w:left="360" w:hanging="360"/>
      </w:pPr>
      <w:r>
        <w:rPr>
          <w:rFonts w:ascii="Calibri" w:hAnsi="Calibri"/>
          <w:b/>
          <w:color w:val="525866"/>
          <w:sz w:val="22"/>
        </w:rPr>
        <w:t xml:space="preserve">June 18, 2026 — CFO Transition (8-K): </w:t>
      </w:r>
      <w:r>
        <w:rPr>
          <w:rFonts w:ascii="Calibri" w:hAnsi="Calibri"/>
          <w:color w:val="525866"/>
          <w:sz w:val="22"/>
        </w:rPr>
        <w:t xml:space="preserve">Amit Banati appointed EVP &amp; CFO, effective July 1, 2026, replacing Luca Zaramella who moves to COO. Banati joins from Kenvue (CFO, May 2025–May 2026) and Kellanova/Kellogg (CFO, 2019–2025). Compensation: $1.05M base salary, 125% target annual incentive, $5M target LTI, and up to $7M make-whole cash award. </w:t>
      </w:r>
      <w:r>
        <w:rPr>
          <w:rFonts w:ascii="Calibri" w:hAnsi="Calibri"/>
          <w:b/>
          <w:color w:val="525866"/>
          <w:sz w:val="22"/>
        </w:rPr>
        <w:t>Implication:</w:t>
      </w:r>
      <w:r>
        <w:rPr>
          <w:rFonts w:ascii="Calibri" w:hAnsi="Calibri"/>
          <w:color w:val="525866"/>
          <w:sz w:val="22"/>
        </w:rPr>
        <w:t xml:space="preserve"> First earnings call as CFO; tone and guidance posture may differ from Zaramella’s. Banati’s Kellanova background (snacks/cereal) is directly relevant to MDLZ’s business. No change to financial guidance expected.</w:t>
      </w:r>
    </w:p>
    <w:p>
      <w:pPr>
        <w:pStyle w:val="ListBullet"/>
        <w:ind w:left="360" w:hanging="360"/>
      </w:pPr>
      <w:r>
        <w:rPr>
          <w:rFonts w:ascii="Calibri" w:hAnsi="Calibri"/>
          <w:b/>
          <w:color w:val="525866"/>
          <w:sz w:val="22"/>
        </w:rPr>
        <w:t xml:space="preserve">July 26, 2026 — Cocoa Prices Easing (Industry News): </w:t>
      </w:r>
      <w:r>
        <w:rPr>
          <w:rFonts w:ascii="Calibri" w:hAnsi="Calibri"/>
          <w:color w:val="525866"/>
          <w:sz w:val="22"/>
        </w:rPr>
        <w:t xml:space="preserve">CNBC reported that cocoa prices are easing, with chocolate firms seeking to win back shoppers through premium products and social media trends following sales declines caused by poor weather, tariffs, and the Iran war. </w:t>
      </w:r>
      <w:r>
        <w:rPr>
          <w:rFonts w:ascii="Calibri" w:hAnsi="Calibri"/>
          <w:b/>
          <w:color w:val="525866"/>
          <w:sz w:val="22"/>
        </w:rPr>
        <w:t>Implication:</w:t>
      </w:r>
      <w:r>
        <w:rPr>
          <w:rFonts w:ascii="Calibri" w:hAnsi="Calibri"/>
          <w:color w:val="525866"/>
          <w:sz w:val="22"/>
        </w:rPr>
        <w:t xml:space="preserve"> Consistent with MDLZ management’s Q1 commentary that cocoa at ~$2,500/tonne is “a fair representation of supply and demand” and that another year of supply surplus is likely. Easing cocoa costs are the primary catalyst for MDLZ’s 2027 margin recovery story.</w:t>
      </w:r>
    </w:p>
    <w:p>
      <w:pPr>
        <w:pStyle w:val="ListBullet"/>
        <w:ind w:left="360" w:hanging="360"/>
      </w:pPr>
      <w:r>
        <w:rPr>
          <w:rFonts w:ascii="Calibri" w:hAnsi="Calibri"/>
          <w:b/>
          <w:color w:val="525866"/>
          <w:sz w:val="22"/>
        </w:rPr>
        <w:t xml:space="preserve">July 23, 2026 — Nestlé H1 2026 Results (Peer Read-Through): </w:t>
      </w:r>
      <w:r>
        <w:rPr>
          <w:rFonts w:ascii="Calibri" w:hAnsi="Calibri"/>
          <w:color w:val="525866"/>
          <w:sz w:val="22"/>
        </w:rPr>
        <w:t xml:space="preserve">Nestlé reported H1 organic growth of +3.6% with volume (RIG) accelerating to +1.8% in Q2, and tightened FY2026 guidance to 3–4%. Snacks/confectionery showed double-digit EM volume growth. </w:t>
      </w:r>
      <w:r>
        <w:rPr>
          <w:rFonts w:ascii="Calibri" w:hAnsi="Calibri"/>
          <w:b/>
          <w:color w:val="525866"/>
          <w:sz w:val="22"/>
        </w:rPr>
        <w:t>Implication:</w:t>
      </w:r>
      <w:r>
        <w:rPr>
          <w:rFonts w:ascii="Calibri" w:hAnsi="Calibri"/>
          <w:color w:val="525866"/>
          <w:sz w:val="22"/>
        </w:rPr>
        <w:t xml:space="preserve"> Strong positive read-through for MDLZ’s emerging markets and snack/confectionery business. Nestlé’s explicit call for lower cocoa costs benefiting H2 margins is a key positive signal.</w:t>
      </w:r>
    </w:p>
    <w:p>
      <w:pPr>
        <w:pStyle w:val="ListBullet"/>
        <w:ind w:left="360" w:hanging="360"/>
      </w:pPr>
      <w:r>
        <w:rPr>
          <w:rFonts w:ascii="Calibri" w:hAnsi="Calibri"/>
          <w:b/>
          <w:color w:val="525866"/>
          <w:sz w:val="22"/>
        </w:rPr>
        <w:t xml:space="preserve">July 9, 2026 — PepsiCo Q2 2026 Results (Peer Read-Through): </w:t>
      </w:r>
      <w:r>
        <w:rPr>
          <w:rFonts w:ascii="Calibri" w:hAnsi="Calibri"/>
          <w:color w:val="525866"/>
          <w:sz w:val="22"/>
        </w:rPr>
        <w:t xml:space="preserve">PEP reported North America food organic sales down ~2%, with consumer budgets tightening due to inflationary pressures. PEP cut prices on Lay’s and Doritos. Full-year guidance maintained. </w:t>
      </w:r>
      <w:r>
        <w:rPr>
          <w:rFonts w:ascii="Calibri" w:hAnsi="Calibri"/>
          <w:b/>
          <w:color w:val="525866"/>
          <w:sz w:val="22"/>
        </w:rPr>
        <w:t>Implication:</w:t>
      </w:r>
      <w:r>
        <w:rPr>
          <w:rFonts w:ascii="Calibri" w:hAnsi="Calibri"/>
          <w:color w:val="525866"/>
          <w:sz w:val="22"/>
        </w:rPr>
        <w:t xml:space="preserve"> Negative read-through for MDLZ’s North America biscuit business; confirms the Street’s cautious +0.4% NA organic growth estimate is appropriate.</w:t>
      </w:r>
    </w:p>
    <w:p>
      <w:pPr>
        <w:pStyle w:val="ListBullet"/>
        <w:ind w:left="360" w:hanging="360"/>
      </w:pPr>
      <w:r>
        <w:rPr>
          <w:rFonts w:ascii="Calibri" w:hAnsi="Calibri"/>
          <w:b/>
          <w:color w:val="525866"/>
          <w:sz w:val="22"/>
        </w:rPr>
        <w:t xml:space="preserve">July 15, 2026 — Conagra Q4 FY2026 Results (Sector Signal): </w:t>
      </w:r>
      <w:r>
        <w:rPr>
          <w:rFonts w:ascii="Calibri" w:hAnsi="Calibri"/>
          <w:color w:val="525866"/>
          <w:sz w:val="22"/>
        </w:rPr>
        <w:t xml:space="preserve">CAG reported flat organic revenue growth vs. Street’s +0.75% estimate, issued light FY2027 guidance (EPS $1.45 vs. Street $1.54, organic growth −2% vs. Street +0.3%), and cut its quarterly dividend in half. </w:t>
      </w:r>
      <w:r>
        <w:rPr>
          <w:rFonts w:ascii="Calibri" w:hAnsi="Calibri"/>
          <w:b/>
          <w:color w:val="525866"/>
          <w:sz w:val="22"/>
        </w:rPr>
        <w:t>Implication:</w:t>
      </w:r>
      <w:r>
        <w:rPr>
          <w:rFonts w:ascii="Calibri" w:hAnsi="Calibri"/>
          <w:color w:val="525866"/>
          <w:sz w:val="22"/>
        </w:rPr>
        <w:t xml:space="preserve"> Negative sector signal for North America packaged food; however, CAG’s issues are more structural (portfolio complexity, leverage) than MDLZ’s, which has a stronger brand portfolio and emerging markets buffer.</w:t>
      </w:r>
    </w:p>
    <w:p>
      <w:pPr>
        <w:pStyle w:val="ListBullet"/>
        <w:ind w:left="360" w:hanging="360"/>
      </w:pPr>
      <w:r>
        <w:rPr>
          <w:rFonts w:ascii="Calibri" w:hAnsi="Calibri"/>
          <w:b/>
          <w:color w:val="525866"/>
          <w:sz w:val="22"/>
        </w:rPr>
        <w:t xml:space="preserve">July 22–27, 2026 — Consumer Staples Macro Backdrop: </w:t>
      </w:r>
      <w:r>
        <w:rPr>
          <w:rFonts w:ascii="Calibri" w:hAnsi="Calibri"/>
          <w:color w:val="525866"/>
          <w:sz w:val="22"/>
        </w:rPr>
        <w:t xml:space="preserve">USDA Secretary stated food prices are “beginning to settle down and stabilize” (July 24). Brazil tariff exemptions for major agricultural exports (coffee, beef, OJ) reduce near-term inflation risk for food supply chains (July 22). NYC announced city-run grocery stores selling basics at 30% discount, reflecting ongoing consumer affordability concerns (July 27). </w:t>
      </w:r>
      <w:r>
        <w:rPr>
          <w:rFonts w:ascii="Calibri" w:hAnsi="Calibri"/>
          <w:b/>
          <w:color w:val="525866"/>
          <w:sz w:val="22"/>
        </w:rPr>
        <w:t>Implication:</w:t>
      </w:r>
      <w:r>
        <w:rPr>
          <w:rFonts w:ascii="Calibri" w:hAnsi="Calibri"/>
          <w:color w:val="525866"/>
          <w:sz w:val="22"/>
        </w:rPr>
        <w:t xml:space="preserve"> Mixed macro backdrop — stabilizing food prices are positive for consumer demand recovery, but affordability concerns remain elevated.</w:t>
      </w:r>
    </w:p>
    <w:p>
      <w:pPr>
        <w:pStyle w:val="ListBullet"/>
        <w:ind w:left="360" w:hanging="360"/>
      </w:pPr>
      <w:r>
        <w:rPr>
          <w:rFonts w:ascii="Calibri" w:hAnsi="Calibri"/>
          <w:b/>
          <w:color w:val="525866"/>
          <w:sz w:val="22"/>
        </w:rPr>
        <w:t xml:space="preserve">July 14, 2026 — MDLZ Earnings Date Confirmed (Press Release): </w:t>
      </w:r>
      <w:r>
        <w:rPr>
          <w:rFonts w:ascii="Calibri" w:hAnsi="Calibri"/>
          <w:color w:val="525866"/>
          <w:sz w:val="22"/>
        </w:rPr>
        <w:t xml:space="preserve">Mondelez confirmed Q2 2026 results will be reported on July 28, 2026, with an earnings call at 5:00 PM ET. </w:t>
      </w:r>
      <w:r>
        <w:rPr>
          <w:rFonts w:ascii="Calibri" w:hAnsi="Calibri"/>
          <w:b/>
          <w:color w:val="525866"/>
          <w:sz w:val="22"/>
        </w:rPr>
        <w:t>Implication:</w:t>
      </w:r>
      <w:r>
        <w:rPr>
          <w:rFonts w:ascii="Calibri" w:hAnsi="Calibri"/>
          <w:color w:val="525866"/>
          <w:sz w:val="22"/>
        </w:rPr>
        <w:t xml:space="preserve"> No surprise on timing; new CFO Amit Banati will lead the financial discussion.</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earnings is </w:t>
      </w:r>
      <w:r>
        <w:rPr>
          <w:rFonts w:ascii="Calibri" w:hAnsi="Calibri"/>
          <w:b/>
          <w:color w:val="525866"/>
          <w:sz w:val="22"/>
        </w:rPr>
        <w:t>minimal and not signaling</w:t>
      </w:r>
      <w:r>
        <w:rPr>
          <w:rFonts w:ascii="Calibri" w:hAnsi="Calibri"/>
          <w:color w:val="525866"/>
          <w:sz w:val="22"/>
        </w:rPr>
        <w:t xml:space="preserve"> — the only transactions on record are two small discretionary sales by the SVP, Controller &amp; Chief Accounting Officer (Brian Stevens) in late April/early May, both executed through a trust and totaling a modest 64 shares. There are no open-market buys, no clustered selling, and no 10b5-1 plan initiations. The absence of insider buying at current depressed valuation levels is notable but not alarming given the typical quiet period ahead of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Brian Stevens</w:t>
            </w:r>
          </w:p>
        </w:tc>
        <w:tc>
          <w:tcPr>
            <w:tcW w:type="dxa" w:w="1440"/>
          </w:tcPr>
          <w:p>
            <w:r>
              <w:rPr>
                <w:rFonts w:ascii="Calibri" w:hAnsi="Calibri"/>
                <w:sz w:val="22"/>
              </w:rPr>
              <w:t>SVP, Controller &amp; Chief Accounting Officer</w:t>
            </w:r>
          </w:p>
        </w:tc>
        <w:tc>
          <w:tcPr>
            <w:tcW w:type="dxa" w:w="1440"/>
          </w:tcPr>
          <w:p>
            <w:r>
              <w:rPr>
                <w:rFonts w:ascii="Calibri" w:hAnsi="Calibri"/>
                <w:sz w:val="22"/>
              </w:rPr>
              <w:t>Open Market Sale (Indirect/Trust)</w:t>
            </w:r>
          </w:p>
        </w:tc>
        <w:tc>
          <w:tcPr>
            <w:tcW w:type="dxa" w:w="1440"/>
          </w:tcPr>
          <w:p>
            <w:r>
              <w:rPr>
                <w:rFonts w:ascii="Calibri" w:hAnsi="Calibri"/>
                <w:sz w:val="22"/>
              </w:rPr>
              <w:t>63 shares</w:t>
            </w:r>
          </w:p>
        </w:tc>
        <w:tc>
          <w:tcPr>
            <w:tcW w:type="dxa" w:w="1440"/>
          </w:tcPr>
          <w:p>
            <w:r>
              <w:rPr>
                <w:rFonts w:ascii="Calibri" w:hAnsi="Calibri"/>
                <w:sz w:val="22"/>
              </w:rPr>
              <w:t>Apr 30, 2026</w:t>
            </w:r>
          </w:p>
        </w:tc>
        <w:tc>
          <w:tcPr>
            <w:tcW w:type="dxa" w:w="1440"/>
          </w:tcPr>
          <w:p>
            <w:r>
              <w:rPr>
                <w:rFonts w:ascii="Calibri" w:hAnsi="Calibri"/>
                <w:sz w:val="22"/>
              </w:rPr>
              <w:t>Discretionary; sold through trust; small size, not material</w:t>
            </w:r>
          </w:p>
        </w:tc>
      </w:tr>
      <w:tr>
        <w:tc>
          <w:tcPr>
            <w:tcW w:type="dxa" w:w="1440"/>
          </w:tcPr>
          <w:p>
            <w:r>
              <w:rPr>
                <w:rFonts w:ascii="Calibri" w:hAnsi="Calibri"/>
                <w:sz w:val="22"/>
              </w:rPr>
              <w:t>Brian Stevens</w:t>
            </w:r>
          </w:p>
        </w:tc>
        <w:tc>
          <w:tcPr>
            <w:tcW w:type="dxa" w:w="1440"/>
          </w:tcPr>
          <w:p>
            <w:r>
              <w:rPr>
                <w:rFonts w:ascii="Calibri" w:hAnsi="Calibri"/>
                <w:sz w:val="22"/>
              </w:rPr>
              <w:t>SVP, Controller &amp; Chief Accounting Officer</w:t>
            </w:r>
          </w:p>
        </w:tc>
        <w:tc>
          <w:tcPr>
            <w:tcW w:type="dxa" w:w="1440"/>
          </w:tcPr>
          <w:p>
            <w:r>
              <w:rPr>
                <w:rFonts w:ascii="Calibri" w:hAnsi="Calibri"/>
                <w:sz w:val="22"/>
              </w:rPr>
              <w:t>Open Market Sale (Indirect/Trust)</w:t>
            </w:r>
          </w:p>
        </w:tc>
        <w:tc>
          <w:tcPr>
            <w:tcW w:type="dxa" w:w="1440"/>
          </w:tcPr>
          <w:p>
            <w:r>
              <w:rPr>
                <w:rFonts w:ascii="Calibri" w:hAnsi="Calibri"/>
                <w:sz w:val="22"/>
              </w:rPr>
              <w:t>1 share</w:t>
            </w:r>
          </w:p>
        </w:tc>
        <w:tc>
          <w:tcPr>
            <w:tcW w:type="dxa" w:w="1440"/>
          </w:tcPr>
          <w:p>
            <w:r>
              <w:rPr>
                <w:rFonts w:ascii="Calibri" w:hAnsi="Calibri"/>
                <w:sz w:val="22"/>
              </w:rPr>
              <w:t>May 1, 2026</w:t>
            </w:r>
          </w:p>
        </w:tc>
        <w:tc>
          <w:tcPr>
            <w:tcW w:type="dxa" w:w="1440"/>
          </w:tcPr>
          <w:p>
            <w:r>
              <w:rPr>
                <w:rFonts w:ascii="Calibri" w:hAnsi="Calibri"/>
                <w:sz w:val="22"/>
              </w:rPr>
              <w:t>Discretionary; sold through trust; de minimis size</w:t>
            </w:r>
          </w:p>
        </w:tc>
      </w:tr>
    </w:tbl>
    <w:p>
      <w:r>
        <w:rPr>
          <w:rFonts w:ascii="Calibri" w:hAnsi="Calibri"/>
          <w:color w:val="525866"/>
          <w:sz w:val="22"/>
        </w:rPr>
        <w:t>No open-market buys, no 10b5-1 plan initiations, and no sales by C-suite executives (CEO, CFO, or division presidents) have been filed since Q1 earnings. The new CFO (Amit Banati, effective July 1) has not yet filed any Form 4 transactions. Overall, insider activity is quiet and provides no directional signal ahead of the Q2 print.</w:t>
      </w:r>
    </w:p>
    <w:p>
      <w:r>
        <w:rPr>
          <w:rFonts w:ascii="Calibri" w:hAnsi="Calibri"/>
          <w:i/>
          <w:color w:val="525866"/>
          <w:sz w:val="22"/>
        </w:rPr>
        <w:t xml:space="preserve">Source: </w:t>
      </w:r>
      <w:r>
        <w:rPr>
          <w:rFonts w:ascii="Calibri" w:hAnsi="Calibri"/>
          <w:i/>
          <w:color w:val="525866"/>
          <w:sz w:val="22"/>
        </w:rPr>
        <w:t>SEC Form 4 Filings Database (filing date window: April 28 – July 27,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