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eta-earnings-predictions--2026-07-29"/>
    <w:p>
      <w:pPr>
        <w:pStyle w:val="Heading1"/>
      </w:pPr>
      <w:r>
        <w:t xml:space="preserve">META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~$61.5B vs. cons $60.2B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~$7.75 vs. cons $7.20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Advertising 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~$60.4B vs. cons $59.0B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capex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~$135-150B vs. cons $125-145B (FY2026) — a raise, bearish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~$63-66B vs. cons $63.5B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expense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162</m:t>
              </m:r>
              <m:r>
                <m:rPr>
                  <m:sty m:val="p"/>
                </m:rPr>
                <m:t>−</m:t>
              </m:r>
              <m:r>
                <m:t>169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166B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capex framing / out-year signpost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another step-up flagged ~</w:t>
            </w:r>
            <m:oMath>
              <m:r>
                <m:t>150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n</m:t>
              </m:r>
              <m:r>
                <m:t>o</m:t>
              </m:r>
              <m:r>
                <m:t>f</m:t>
              </m:r>
              <m:r>
                <m:t>o</m:t>
              </m:r>
              <m:r>
                <m:t>r</m:t>
              </m:r>
              <m:r>
                <m:t>m</m:t>
              </m:r>
              <m:r>
                <m:t>a</m:t>
              </m:r>
              <m:r>
                <m:t>l</m:t>
              </m:r>
              <m:r>
                <m:t>n</m:t>
              </m:r>
              <m:r>
                <m:t>u</m:t>
              </m:r>
              <m:r>
                <m:t>m</m:t>
              </m:r>
              <m:r>
                <m:t>b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140B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Q2 revenue/EPS beat and a ~13% de-rate into the print (META</w:t>
            </w:r>
            <w:r>
              <w:t xml:space="preserve"> </w:t>
            </w:r>
            <m:oMath>
              <m:r>
                <m:t>681</m:t>
              </m:r>
              <m:r>
                <m:rPr>
                  <m:sty m:val="p"/>
                </m:rPr>
                <m:t>→</m:t>
              </m:r>
            </m:oMath>
            <w:r>
              <w:t xml:space="preserve">593) set a low bar for a relief pop on day 1. But a memory-price-driven FY26 capex raise plus a soft 2027 framing forces out-period EPS estimates lower (higher depreciation, interest expense, financing dilution, RL losses), so the initial bounce fades as revisions reset the ROI/margin narrative against an Alphabet-capex-panned tape.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2026-07-29T01:24:10Z</dcterms:created>
  <dcterms:modified xsi:type="dcterms:W3CDTF">2026-07-29T01:24:10Z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