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eta-earnings-predictions--2026-07-29"/>
    <w:p>
      <w:pPr>
        <w:pStyle w:val="Heading1"/>
      </w:pPr>
      <w:r>
        <w:t xml:space="preserve">META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~$60.9B vs. cons $60.26B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~$7.20 vs. cons $7.22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Actual Capex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34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Capex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140</m:t>
              </m:r>
              <m:r>
                <m:rPr>
                  <m:sty m:val="p"/>
                </m:rPr>
                <m:t>−</m:t>
              </m:r>
              <m:r>
                <m:t>160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135B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Total Expenses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168</m:t>
              </m:r>
              <m:r>
                <m:rPr>
                  <m:sty m:val="p"/>
                </m:rPr>
                <m:t>−</m:t>
              </m:r>
              <m:r>
                <m:t>178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166B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63</m:t>
              </m:r>
              <m:r>
                <m:rPr>
                  <m:sty m:val="p"/>
                </m:rPr>
                <m:t>−</m:t>
              </m:r>
              <m:r>
                <m:t>66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64.5B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Reality Labs FY2026 Operating Loss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19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19B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-5.2%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-8.0% (FOLLOW-THROUGH)</w:t>
            </w:r>
          </w:p>
        </w:tc>
        <w:tc>
          <w:tcPr/>
          <w:p>
            <w:pPr>
              <w:pStyle w:val="Compact"/>
            </w:pPr>
            <w:r>
              <w:t xml:space="preserve">Even with a top/bottom-line beat, an expected further FY26 capex raise (to fund the Q1 underspend catch-up plus AI buildout) forces sell-side models to push out 2027 depreciation/opex ramps, compressing forward margin and EPS estimates similarly to the Alphabet post-earnings drift; credit-market stress (widening AI bond spreads, Moody's warnings) and no offsetting cloud-revenue narrative for Meta mean initial capex-driven selling is likely to continue into the following days rather than reverse, consistent with the pattern seen after the Q1 print.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2026-07-29T01:17:20Z</dcterms:created>
  <dcterms:modified xsi:type="dcterms:W3CDTF">2026-07-29T01:17:20Z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