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META's recent financial performance, guidance, and current market sentiment before writing the preview.Let me get more details from the Q1 2026 earnings call/release for guidance figures, and check on Alphabet's recent report that spooked the market.Let me check consensus estimates and recent analyst commentary for additional context.Let me get the exact ordering of the web search results for accurate citation indexing.# Meta Platforms (META) — Q2 2026 Earnings Preview</w:t>
      </w:r>
      <w:r>
        <w:t xml:space="preserve"> </w:t>
      </w:r>
      <w:r>
        <w:rPr>
          <w:b/>
          <w:bCs/>
        </w:rPr>
        <w:t xml:space="preserve">Reports: Wednesday, July 29, 2026, after market close | Call: ~5:00 PM ET</w:t>
      </w:r>
    </w:p>
    <w:p>
      <w:r>
        <w:pict>
          <v:rect style="width:0;height:1.5pt" o:hralign="center" o:hrstd="t" o:hr="t"/>
        </w:pict>
      </w:r>
    </w:p>
    <w:bookmarkStart w:id="9" w:name="X8382ddb5de1b45871e0e40ee7b5a04d54d85318"/>
    <w:p>
      <w:pPr>
        <w:pStyle w:val="Heading2"/>
      </w:pPr>
      <w:r>
        <w:t xml:space="preserve">1. Where the Stock Stands Heading In</w:t>
      </w:r>
    </w:p>
    <w:p>
      <w:pPr>
        <w:pStyle w:val="FirstParagraph"/>
      </w:pPr>
      <w:r>
        <w:t xml:space="preserve">META enters the print in a noticeably shakier spot than it was even two weeks ago. The stock ran from roughly $600 in early July to an intraday high near</w:t>
      </w:r>
      <w:r>
        <w:t xml:space="preserve"> </w:t>
      </w:r>
      <m:oMath>
        <m:r>
          <m:t>681</m:t>
        </m:r>
        <m:r>
          <m:t>o</m:t>
        </m:r>
        <m:r>
          <m:t>n</m:t>
        </m:r>
        <m:r>
          <m:t>J</m:t>
        </m:r>
        <m:r>
          <m:t>u</m:t>
        </m:r>
        <m:r>
          <m:t>l</m:t>
        </m:r>
        <m:r>
          <m:t>y</m:t>
        </m:r>
        <m:r>
          <m:t>15</m:t>
        </m:r>
        <m:r>
          <m:rPr>
            <m:sty m:val="p"/>
          </m:rPr>
          <m:t>,</m:t>
        </m:r>
        <m:r>
          <m:t>b</m:t>
        </m:r>
        <m:r>
          <m:t>u</m:t>
        </m:r>
        <m:r>
          <m:t>t</m:t>
        </m:r>
        <m:r>
          <m:t>h</m:t>
        </m:r>
        <m:r>
          <m:t>a</m:t>
        </m:r>
        <m:r>
          <m:t>s</m:t>
        </m:r>
        <m:r>
          <m:t>s</m:t>
        </m:r>
        <m:r>
          <m:t>i</m:t>
        </m:r>
        <m:r>
          <m:t>n</m:t>
        </m:r>
        <m:r>
          <m:t>c</m:t>
        </m:r>
        <m:r>
          <m:t>e</m:t>
        </m:r>
        <m:r>
          <m:t>s</m:t>
        </m:r>
        <m:r>
          <m:t>l</m:t>
        </m:r>
        <m:r>
          <m:t>i</m:t>
        </m:r>
        <m:r>
          <m:t>d</m:t>
        </m:r>
        <m:r>
          <m:t>f</m:t>
        </m:r>
        <m:r>
          <m:t>o</m:t>
        </m:r>
        <m:r>
          <m:t>r</m:t>
        </m:r>
        <m:r>
          <m:t>e</m:t>
        </m:r>
        <m:r>
          <m:t>i</m:t>
        </m:r>
        <m:r>
          <m:t>g</m:t>
        </m:r>
        <m:r>
          <m:t>h</m:t>
        </m:r>
        <m:r>
          <m:t>t</m:t>
        </m:r>
        <m:r>
          <m:t>s</m:t>
        </m:r>
        <m:r>
          <m:t>t</m:t>
        </m:r>
        <m:r>
          <m:t>r</m:t>
        </m:r>
        <m:r>
          <m:t>a</m:t>
        </m:r>
        <m:r>
          <m:t>i</m:t>
        </m:r>
        <m:r>
          <m:t>g</m:t>
        </m:r>
        <m:r>
          <m:t>h</m:t>
        </m:r>
        <m:r>
          <m:t>t</m:t>
        </m:r>
        <m:r>
          <m:t>s</m:t>
        </m:r>
        <m:r>
          <m:t>e</m:t>
        </m:r>
        <m:r>
          <m:t>s</m:t>
        </m:r>
        <m:r>
          <m:t>s</m:t>
        </m:r>
        <m:r>
          <m:t>i</m:t>
        </m:r>
        <m:r>
          <m:t>o</m:t>
        </m:r>
        <m:r>
          <m:t>n</m:t>
        </m:r>
        <m:r>
          <m:t>s</m:t>
        </m:r>
        <m:r>
          <m:t>t</m:t>
        </m:r>
        <m:r>
          <m:t>o</m:t>
        </m:r>
        <m:r>
          <m:t>c</m:t>
        </m:r>
        <m:r>
          <m:t>l</m:t>
        </m:r>
        <m:r>
          <m:t>o</m:t>
        </m:r>
        <m:r>
          <m:t>s</m:t>
        </m:r>
        <m:r>
          <m:t>e</m:t>
        </m:r>
        <m:r>
          <m:t>a</m:t>
        </m:r>
        <m:r>
          <m:t>t</m:t>
        </m:r>
        <m:r>
          <m:rPr>
            <m:sty m:val="p"/>
          </m:rPr>
          <m:t>*</m:t>
        </m:r>
        <m:r>
          <m:rPr>
            <m:sty m:val="p"/>
          </m:rPr>
          <m:t>*</m:t>
        </m:r>
      </m:oMath>
      <w:r>
        <w:t xml:space="preserve">593.45 on July 28** — a ~13% round trip. That selloff accelerated after Alphabet reported earnings on July 27: Alphabet stock fell 7% the day after reporting earnings as the company raised its capital expenditures estimate for the year and indicated spending would increase significantly in 2027, and Alphabet posted its first ever quarter since going public of negative free cash flow. That result triggered sector-wide anxiety about hyperscaler capex, and reporting the very next week put META directly in the blast radius: Meta shares tumbled after Alphabet hiked its 2026 capital expenditure forecast, reflecting increased investor scrutiny of infrastructure investments across hyperscalers that are resulting in dwindling cash piles with uncertain returns, with analysts warning that if the company raises capex guidance, it could lead to selling pressure in the stock based on the market reaction to Google's announcement.</w:t>
      </w:r>
    </w:p>
    <w:p>
      <w:pPr>
        <w:pStyle w:val="BodyText"/>
      </w:pPr>
      <w:r>
        <w:t xml:space="preserve">Options markets are braced for a big move: implied volatility points to a post-earnings move of roughly 7.4% in either direction, and Meta has averaged a post-earnings move of about 8.8% over its last five reports. Notably, the Q1 print in April was a case study in this dynamic — Meta beat on both revenue and EPS last quarter and still fell 6-7% after hours purely on the capex number.</w:t>
      </w:r>
    </w:p>
    <w:bookmarkEnd w:id="9"/>
    <w:bookmarkStart w:id="10" w:name="Xa2d29751690e2472afff48261100616c5eb692d"/>
    <w:p>
      <w:pPr>
        <w:pStyle w:val="Heading2"/>
      </w:pPr>
      <w:r>
        <w:t xml:space="preserve">2. Q1 2026 Recap: Strong Fundamentals, Capex Was the Rub</w:t>
      </w:r>
    </w:p>
    <w:p>
      <w:pPr>
        <w:pStyle w:val="FirstParagraph"/>
      </w:pPr>
      <w:r>
        <w:t xml:space="preserve">Meta's first quarter was fundamentally excellent. Total revenue was $56.3 billion, up 33% year-over-year (29% constant currency), with ad impressions up 19% and price per ad up 12%. Operating income hit $22.9 billion, a 41% margin. GAAP EPS of $10.44 was flattered by an $8.03 billion one-time tax benefit; the underlying figure analysts track was $7.31.</w:t>
      </w:r>
    </w:p>
    <w:p>
      <w:pPr>
        <w:pStyle w:val="BodyText"/>
      </w:pPr>
      <w:r>
        <w:t xml:space="preserve">The catch: capex. Meta raised its full-year 2026 capex guidance from</w:t>
      </w:r>
      <w:r>
        <w:t xml:space="preserve"> </w:t>
      </w:r>
      <m:oMath>
        <m:r>
          <m:t>115</m:t>
        </m:r>
        <m:r>
          <m:rPr>
            <m:sty m:val="p"/>
          </m:rPr>
          <m:t>–</m:t>
        </m:r>
        <m:r>
          <m:t>135</m:t>
        </m:r>
        <m:r>
          <m:t>b</m:t>
        </m:r>
        <m:r>
          <m:t>i</m:t>
        </m:r>
        <m:r>
          <m:t>l</m:t>
        </m:r>
        <m:r>
          <m:t>l</m:t>
        </m:r>
        <m:r>
          <m:t>i</m:t>
        </m:r>
        <m:r>
          <m:t>o</m:t>
        </m:r>
        <m:r>
          <m:t>n</m:t>
        </m:r>
        <m:r>
          <m:t>t</m:t>
        </m:r>
        <m:r>
          <m:t>o</m:t>
        </m:r>
        <m:r>
          <m:rPr>
            <m:sty m:val="p"/>
          </m:rPr>
          <m:t>*</m:t>
        </m:r>
        <m:r>
          <m:rPr>
            <m:sty m:val="p"/>
          </m:rPr>
          <m:t>*</m:t>
        </m:r>
      </m:oMath>
      <w:r>
        <w:t xml:space="preserve">125–145 billion**, citing higher component costs (especially memory pricing) and additional data center build-out for future capacity, even though</w:t>
      </w:r>
      <w:r>
        <w:t xml:space="preserve"> </w:t>
      </w:r>
      <w:r>
        <w:rPr>
          <w:b/>
          <w:bCs/>
        </w:rPr>
        <w:t xml:space="preserve">actual Q1 capex of $19.8 billion came in below the roughly $27.6 billion the Street had modeled</w:t>
      </w:r>
      <w:r>
        <w:t xml:space="preserve"> </w:t>
      </w:r>
      <w:r>
        <w:t xml:space="preserve">— meaning the spending simply got pushed later in the year. Reality Labs continued to bleed cash, losing money on just $402 million of quarterly revenue, with CFO Susan Li guiding full-year segment losses to land "on par" with 2025's roughly $19 billion.</w:t>
      </w:r>
    </w:p>
    <w:bookmarkEnd w:id="10"/>
    <w:bookmarkStart w:id="11" w:name="X0b27d73c011d948385f0cc877ccb87390073a42"/>
    <w:p>
      <w:pPr>
        <w:pStyle w:val="Heading2"/>
      </w:pPr>
      <w:r>
        <w:t xml:space="preserve">3. What Wall Street Expects for Q2</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Meta's Guidance</w:t>
            </w:r>
          </w:p>
        </w:tc>
        <w:tc>
          <w:tcPr/>
          <w:p>
            <w:pPr>
              <w:pStyle w:val="Compact"/>
            </w:pPr>
            <w:r>
              <w:t xml:space="preserve">Street Consensus</w:t>
            </w:r>
          </w:p>
        </w:tc>
      </w:tr>
      <w:tr>
        <w:tc>
          <w:tcPr/>
          <w:p>
            <w:pPr>
              <w:pStyle w:val="Compact"/>
            </w:pPr>
            <w:r>
              <w:t xml:space="preserve">Total Revenue</w:t>
            </w:r>
          </w:p>
        </w:tc>
        <w:tc>
          <w:tcPr/>
          <w:p>
            <w:pPr>
              <w:pStyle w:val="Compact"/>
            </w:pPr>
            <m:oMath>
              <m:r>
                <m:t>58</m:t>
              </m:r>
              <m:r>
                <m:t>B</m:t>
              </m:r>
              <m:r>
                <m:rPr>
                  <m:sty m:val="p"/>
                </m:rPr>
                <m:t>–</m:t>
              </m:r>
            </m:oMath>
            <w:r>
              <w:t xml:space="preserve">61B</w:t>
            </w:r>
          </w:p>
        </w:tc>
        <w:tc>
          <w:tcPr/>
          <w:p>
            <w:pPr>
              <w:pStyle w:val="Compact"/>
            </w:pPr>
            <w:r>
              <w:t xml:space="preserve">~$60.2B (+~27% YoY)</w:t>
            </w:r>
          </w:p>
        </w:tc>
      </w:tr>
      <w:tr>
        <w:tc>
          <w:tcPr/>
          <w:p>
            <w:pPr>
              <w:pStyle w:val="Compact"/>
            </w:pPr>
            <w:r>
              <w:t xml:space="preserve">EPS (adjusted)</w:t>
            </w:r>
          </w:p>
        </w:tc>
        <w:tc>
          <w:tcPr/>
          <w:p>
            <w:pPr>
              <w:pStyle w:val="Compact"/>
            </w:pPr>
            <w:r>
              <w:t xml:space="preserve">Not guided</w:t>
            </w:r>
          </w:p>
        </w:tc>
        <w:tc>
          <w:tcPr/>
          <w:p>
            <w:pPr>
              <w:pStyle w:val="Compact"/>
            </w:pPr>
            <w:r>
              <w:t xml:space="preserve">~</w:t>
            </w:r>
            <m:oMath>
              <m:r>
                <m:t>7.13</m:t>
              </m:r>
              <m:r>
                <m:rPr>
                  <m:sty m:val="p"/>
                </m:rPr>
                <m:t>–</m:t>
              </m:r>
            </m:oMath>
            <w:r>
              <w:t xml:space="preserve">7.32</w:t>
            </w:r>
          </w:p>
        </w:tc>
      </w:tr>
      <w:tr>
        <w:tc>
          <w:tcPr/>
          <w:p>
            <w:pPr>
              <w:pStyle w:val="Compact"/>
            </w:pPr>
            <w:r>
              <w:t xml:space="preserve">FY26 Total Expenses</w:t>
            </w:r>
          </w:p>
        </w:tc>
        <w:tc>
          <w:tcPr/>
          <w:p>
            <w:pPr>
              <w:pStyle w:val="Compact"/>
            </w:pPr>
            <m:oMath>
              <m:r>
                <m:t>162</m:t>
              </m:r>
              <m:r>
                <m:t>B</m:t>
              </m:r>
              <m:r>
                <m:rPr>
                  <m:sty m:val="p"/>
                </m:rPr>
                <m:t>–</m:t>
              </m:r>
            </m:oMath>
            <w:r>
              <w:t xml:space="preserve">169B</w:t>
            </w:r>
          </w:p>
        </w:tc>
        <w:tc>
          <w:tcPr/>
          <w:p>
            <w:pPr>
              <w:pStyle w:val="Compact"/>
            </w:pPr>
            <w:r>
              <w:t xml:space="preserve">—</w:t>
            </w:r>
          </w:p>
        </w:tc>
      </w:tr>
      <w:tr>
        <w:tc>
          <w:tcPr/>
          <w:p>
            <w:pPr>
              <w:pStyle w:val="Compact"/>
            </w:pPr>
            <w:r>
              <w:t xml:space="preserve">FY26 Capex</w:t>
            </w:r>
          </w:p>
        </w:tc>
        <w:tc>
          <w:tcPr/>
          <w:p>
            <w:pPr>
              <w:pStyle w:val="Compact"/>
            </w:pPr>
            <m:oMath>
              <m:r>
                <m:t>125</m:t>
              </m:r>
              <m:r>
                <m:t>B</m:t>
              </m:r>
              <m:r>
                <m:rPr>
                  <m:sty m:val="p"/>
                </m:rPr>
                <m:t>–</m:t>
              </m:r>
            </m:oMath>
            <w:r>
              <w:t xml:space="preserve">145B</w:t>
            </w:r>
          </w:p>
        </w:tc>
        <w:tc>
          <w:tcPr/>
          <w:p>
            <w:pPr>
              <w:pStyle w:val="Compact"/>
            </w:pPr>
            <w:r>
              <w:t xml:space="preserve">—</w:t>
            </w:r>
          </w:p>
        </w:tc>
      </w:tr>
    </w:tbl>
    <w:p>
      <w:pPr>
        <w:pStyle w:val="BodyText"/>
      </w:pPr>
      <w:r>
        <w:t xml:space="preserve">Consensus revenue of $60.26B represents a 26.8% increase from the $47.52B reported in Q2 2025, sitting near the top end of that range of management's $58–61B guide. Notably, underlying EPS growth is expected to land close to flat year over year, around 1%, even as revenue grows near 27% — a widening gap between top-line strength and bottom-line growth that is "the real story of this earnings season for Meta," reflecting margin compression from depreciation, data-center opex, and AI talent costs.</w:t>
      </w:r>
    </w:p>
    <w:p>
      <w:pPr>
        <w:pStyle w:val="BodyText"/>
      </w:pPr>
      <w:r>
        <w:t xml:space="preserve">On segment detail, analysts model 'Revenue- Advertising' reaching $59.01 billion, a change of +26.7% from the prior-year quarter, and Family Daily Active People reaching roughly 3.61 billion.</w:t>
      </w:r>
    </w:p>
    <w:bookmarkEnd w:id="11"/>
    <w:bookmarkStart w:id="12" w:name="X87474d6b7fbffbd9b78dc36c597696b3af93692"/>
    <w:p>
      <w:pPr>
        <w:pStyle w:val="Heading2"/>
      </w:pPr>
      <w:r>
        <w:t xml:space="preserve">4. The Central Tension: Capex Math Gets Ugly From Here</w:t>
      </w:r>
    </w:p>
    <w:p>
      <w:pPr>
        <w:pStyle w:val="FirstParagraph"/>
      </w:pPr>
      <w:r>
        <w:t xml:space="preserve">This is likely the single most important number on the call. Because Meta under-spent in Q1 relative to its full-year plan, the math now implies a dramatic ramp: running the $125–145B FY guide through the remaining quarters implies</w:t>
      </w:r>
      <w:r>
        <w:t xml:space="preserve"> </w:t>
      </w:r>
      <w:r>
        <w:rPr>
          <w:b/>
          <w:bCs/>
        </w:rPr>
        <w:t xml:space="preserve">roughly $35–42 billion in quarterly capex for Q2–Q4 — more than double the $16.5 billion Meta spent in the same quarter last year</w:t>
      </w:r>
      <w:r>
        <w:t xml:space="preserve">, and landing right in the same neighborhood as the figure that spooked Alphabet's stock a week earlier. Any</w:t>
      </w:r>
      <w:r>
        <w:t xml:space="preserve"> </w:t>
      </w:r>
      <w:r>
        <w:rPr>
          <w:i/>
          <w:iCs/>
        </w:rPr>
        <w:t xml:space="preserve">further</w:t>
      </w:r>
      <w:r>
        <w:t xml:space="preserve"> </w:t>
      </w:r>
      <w:r>
        <w:t xml:space="preserve">upward revision to the FY26 range, or early commentary on 2027 spending, is the scenario markets are most nervous about.</w:t>
      </w:r>
    </w:p>
    <w:p>
      <w:pPr>
        <w:pStyle w:val="BodyText"/>
      </w:pPr>
      <w:r>
        <w:t xml:space="preserve">That capex is increasingly debt- and off-balance-sheet-financed. Meta has reportedly told bankers and fund managers it will need to raise hundreds of billions of dollars to support its AI buildout, and is in talks with BlackRock and others on financing structures, following the announced $14 billion El Paso data center project with BlackRock. Borrowing has gotten more expensive: Meta has faced higher yields on data-center project bonds than on comparable deals a year ago, part of an industry-wide credit crunch in which AI-linked bond supply hit $270 billion by early July — nearly double all of 2025. Moody's has explicitly flagged "unprecedented" AI spending as a threat to the credit quality of Meta and other large tech issuers, noting it's forcing even cash-rich companies toward heavier reliance on debt and financial engineering.</w:t>
      </w:r>
    </w:p>
    <w:p>
      <w:pPr>
        <w:pStyle w:val="BodyText"/>
      </w:pPr>
      <w:r>
        <w:t xml:space="preserve">Compounding the scrutiny: Bloomberg Intelligence's Mandep Singh flagged that investors will be watching Meta's capital expenditure guidance and noted Meta faces a particularly high bar for capex increases because it does not have a cloud business to offset the spending, unlike Microsoft, meaning any significant capex raise must demonstrate clear returns within Meta's core advertising and AI infrastructure operations — a dynamic that doesn't apply to Alphabet or Microsoft, which can point to Google Cloud/Azure revenue as a direct payoff.</w:t>
      </w:r>
    </w:p>
    <w:bookmarkEnd w:id="12"/>
    <w:bookmarkStart w:id="13" w:name="X821962ee3f4216c4212af5e6908882515cf81c9"/>
    <w:p>
      <w:pPr>
        <w:pStyle w:val="Heading2"/>
      </w:pPr>
      <w:r>
        <w:t xml:space="preserve">5. Is the Core Ad Business Still Firing?</w:t>
      </w:r>
    </w:p>
    <w:p>
      <w:pPr>
        <w:pStyle w:val="FirstParagraph"/>
      </w:pPr>
      <w:r>
        <w:t xml:space="preserve">Away from capex, the underlying business looks healthy. Management highlighted double-digit engagement gains from ranking/recommendation improvements (a 10% lift in Instagram Reels time spent, an 8%+ increase in Facebook video time — the largest quarterly gain in four years), and monetization tools scaling meaningfully: over 8 million advertisers now use Meta's GenAI ad-creative tools, the "value optimization suite" annual revenue run-rate has topped $20 billion (more than doubling YoY), and partnerships-ads revenue run-rate doubled to $10 billion. Watch Q2 impression growth and price-per-ad trends for confirmation the ad engine isn't decelerating faster than the guided range implies — consensus already bakes in some moderation from Q1's 33% growth pace to roughly 27%.</w:t>
      </w:r>
    </w:p>
    <w:bookmarkEnd w:id="13"/>
    <w:bookmarkStart w:id="14" w:name="Xba1b3da8613560aac44f8b17584807e20a8bc1f"/>
    <w:p>
      <w:pPr>
        <w:pStyle w:val="Heading2"/>
      </w:pPr>
      <w:r>
        <w:t xml:space="preserve">6. AI Roadmap: Muse Spark, Agents, and a Possible Cloud Pivot</w:t>
      </w:r>
    </w:p>
    <w:p>
      <w:pPr>
        <w:pStyle w:val="FirstParagraph"/>
      </w:pPr>
      <w:r>
        <w:t xml:space="preserve">Meta's first model from Meta Superintelligence Labs, Muse Spark, now powers Meta AI and is driving double-digit increases in Meta AI sessions per user. Management is pitching "personal superintelligence" — consumer and business agents — as the next big product wave, with weekly business-AI conversations up 10x since the start of the year (from 1 million to 10+ million). Separately, Meta appears to be hedging its infrastructure bet by exploring a hyperscaler/compute-reseller business: it has hired a senior AWS infrastructure executive (Dave Brown) and is reportedly in talks on a roughly $10 billion, two-year compute deal with Anthropic — a notable acknowledgment that Meta may have (or will have) more capacity than its own apps need. Any concrete update on this front, plus Muse Spark adoption metrics, will be watched closely as evidence the AI spend is translating into product traction rather than just cost.</w:t>
      </w:r>
    </w:p>
    <w:bookmarkEnd w:id="14"/>
    <w:bookmarkStart w:id="15" w:name="Xde9927f87ffe20090bf4c986fe6aee635c27cb4"/>
    <w:p>
      <w:pPr>
        <w:pStyle w:val="Heading2"/>
      </w:pPr>
      <w:r>
        <w:t xml:space="preserve">7. Wildcards: Legal, People, and Culture Risk</w:t>
      </w:r>
    </w:p>
    <w:p>
      <w:pPr>
        <w:pStyle w:val="Compact"/>
        <w:numPr>
          <w:ilvl w:val="0"/>
          <w:numId w:val="1001"/>
        </w:numPr>
      </w:pPr>
      <w:r>
        <w:rPr>
          <w:b/>
          <w:bCs/>
        </w:rPr>
        <w:t xml:space="preserve">Litigation overhang:</w:t>
      </w:r>
      <w:r>
        <w:t xml:space="preserve"> </w:t>
      </w:r>
      <w:r>
        <w:t xml:space="preserve">Meta faces a wave of teen/child-safety lawsuits, having already suffered a $375 million adverse judgment in New Mexico, with more trials scheduled in 2026 that the company itself has flagged "may ultimately result in a material loss."</w:t>
      </w:r>
    </w:p>
    <w:p>
      <w:pPr>
        <w:pStyle w:val="Compact"/>
        <w:numPr>
          <w:ilvl w:val="0"/>
          <w:numId w:val="1001"/>
        </w:numPr>
      </w:pPr>
      <w:r>
        <w:rPr>
          <w:b/>
          <w:bCs/>
        </w:rPr>
        <w:t xml:space="preserve">Layoff-related legal risk:</w:t>
      </w:r>
      <w:r>
        <w:t xml:space="preserve"> </w:t>
      </w:r>
      <w:r>
        <w:t xml:space="preserve">A federal lawsuit alleges Meta used AI productivity/token-usage metrics to conduct discriminatory layoffs (targeting employees on medical leave) as part of the ~8,000-person (10% of workforce) reduction announced in May; a judge recently declined to block the layoffs, which began July 22.</w:t>
      </w:r>
    </w:p>
    <w:p>
      <w:pPr>
        <w:pStyle w:val="Compact"/>
        <w:numPr>
          <w:ilvl w:val="0"/>
          <w:numId w:val="1001"/>
        </w:numPr>
      </w:pPr>
      <w:r>
        <w:rPr>
          <w:b/>
          <w:bCs/>
        </w:rPr>
        <w:t xml:space="preserve">Talent/culture friction:</w:t>
      </w:r>
      <w:r>
        <w:t xml:space="preserve"> </w:t>
      </w:r>
      <w:r>
        <w:t xml:space="preserve">External analysis has flagged Meta as the highest stock-based-compensation payer per employee among large-cap tech peers (~$300K average) alongside the lowest employee satisfaction score in the peer set, attributed partly to rapid strategic pivots and elevated churn to rivals like OpenAI and Anthropic — a dynamic that keeps compensation costs, and dilution, elevated.</w:t>
      </w:r>
    </w:p>
    <w:p>
      <w:pPr>
        <w:pStyle w:val="Compact"/>
        <w:numPr>
          <w:ilvl w:val="0"/>
          <w:numId w:val="1001"/>
        </w:numPr>
      </w:pPr>
      <w:r>
        <w:rPr>
          <w:b/>
          <w:bCs/>
        </w:rPr>
        <w:t xml:space="preserve">Energy/ESG shift:</w:t>
      </w:r>
      <w:r>
        <w:t xml:space="preserve"> </w:t>
      </w:r>
      <w:r>
        <w:t xml:space="preserve">Meta exited the RE100 renewable-energy pledge as it leans into natural-gas-powered data centers (its Hyperion campus alone will use 10 gas plants), a shift that could draw further regulatory/ESG scrutiny even as it supports faster capacity build-out.</w:t>
      </w:r>
    </w:p>
    <w:bookmarkEnd w:id="15"/>
    <w:bookmarkStart w:id="16" w:name="X6c28524c786215ee9434599b1f37f3abadaa9d2"/>
    <w:p>
      <w:pPr>
        <w:pStyle w:val="Heading2"/>
      </w:pPr>
      <w:r>
        <w:t xml:space="preserve">8. Where Analysts Stand</w:t>
      </w:r>
    </w:p>
    <w:p>
      <w:pPr>
        <w:pStyle w:val="FirstParagraph"/>
      </w:pPr>
      <w:r>
        <w:t xml:space="preserve">Despite the capex anxiety, sell-side sentiment remains constructive. Mizuho's Lloyd Walmsley carries an Outperform rating with an $835 price target and calls Meta "his preferred pick in digital advertising," while Bernstein's Mark Shmulik has kept a Buy rating into the print. Broader consensus price targets cluster around</w:t>
      </w:r>
      <w:r>
        <w:t xml:space="preserve"> </w:t>
      </w:r>
      <m:oMath>
        <m:r>
          <m:t>814</m:t>
        </m:r>
        <m:r>
          <m:rPr>
            <m:sty m:val="p"/>
          </m:rPr>
          <m:t>–</m:t>
        </m:r>
      </m:oMath>
      <w:r>
        <w:t xml:space="preserve">843, implying meaningful upside from current levels near $593, even as the stock trades at a below-historical-average forward multiple (~20x vs. a three-year average of ~23x).</w:t>
      </w:r>
    </w:p>
    <w:bookmarkEnd w:id="16"/>
    <w:bookmarkStart w:id="17" w:name="bottom-line"/>
    <w:p>
      <w:pPr>
        <w:pStyle w:val="Heading2"/>
      </w:pPr>
      <w:r>
        <w:t xml:space="preserve">Bottom Line</w:t>
      </w:r>
    </w:p>
    <w:p>
      <w:pPr>
        <w:pStyle w:val="FirstParagraph"/>
      </w:pPr>
      <w:r>
        <w:t xml:space="preserve">Meta's advertising engine looks fundamentally sound heading into Q2, with consensus revenue near $60.2 billion sitting at the upper half of guidance. But the market's focus won't be on the top line — it will be on</w:t>
      </w:r>
      <w:r>
        <w:t xml:space="preserve"> </w:t>
      </w:r>
      <w:r>
        <w:rPr>
          <w:b/>
          <w:bCs/>
        </w:rPr>
        <w:t xml:space="preserve">capex trajectory</w:t>
      </w:r>
      <w:r>
        <w:t xml:space="preserve">. Given Q1's underspend relative to the full-year budget, quarterly capex needs to roughly double sequentially through year-end to hit the $125–145B guide, and the Alphabet-driven selloff has primed investors to punish any further upward revision or aggressive early 2027 commentary. Secondary swing factors include Reality Labs burn, updates on the potential Anthropic compute deal/cloud pivot, and any incremental disclosure on legal reserves tied to youth-safety litigation. Expect a volatile reaction regardless of the headline beat/miss — as Q1 demonstrated, a clean top- and bottom-line beat did not stop the stock from selling off on capex alone.</w:t>
      </w:r>
    </w:p>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2026-07-29T01:17:20Z</dcterms:created>
  <dcterms:modified xsi:type="dcterms:W3CDTF">2026-07-29T01:17:20Z</dcterms:modified>
</cp:coreProperties>
</file>

<file path=docProps/custom.xml><?xml version="1.0" encoding="utf-8"?>
<Properties xmlns="http://schemas.openxmlformats.org/officeDocument/2006/custom-properties" xmlns:vt="http://schemas.openxmlformats.org/officeDocument/2006/docPropsVTypes"/>
</file>