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a-earnings-predictions--2026-07-29"/>
    <w:p>
      <w:pPr>
        <w:pStyle w:val="Heading1"/>
      </w:pPr>
      <w:r>
        <w:t xml:space="preserve">META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~$60.85B vs. cons $60.19B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~$7.34 vs. cons $7.23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~41.7% vs. cons 41.44%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~$62.5B vs. cons $62.0B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expenditures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~$140B vs. cons $135B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expenses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~$165.5B vs. cons $165.5B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-5.6% (FOLLOW-THROUGH)</w:t>
            </w:r>
          </w:p>
        </w:tc>
        <w:tc>
          <w:tcPr/>
          <w:p>
            <w:pPr>
              <w:pStyle w:val="Compact"/>
            </w:pPr>
            <w:r>
              <w:t xml:space="preserve">A modest operating beat and ~0.8% Q3 revenue-guide upside are outweighed by FY2026 capex rising to ~</w:t>
            </w:r>
            <m:oMath>
              <m:r>
                <m:t>140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135B consensus. Higher infrastructure commitments imply greater 2027 depreciation, financing costs and free-cash-flow pressure, driving out-period estimate cuts after the initial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2026-07-29T01:17:35Z</dcterms:created>
  <dcterms:modified xsi:type="dcterms:W3CDTF">2026-07-29T01:17:35Z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