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meta-q2-2026-earnings-preview"/>
    <w:p>
      <w:pPr>
        <w:pStyle w:val="Heading1"/>
      </w:pPr>
      <w:r>
        <w:t xml:space="preserve">META Q2 2026 Earnings Preview</w:t>
      </w:r>
    </w:p>
    <w:p>
      <w:pPr>
        <w:pStyle w:val="BlockText"/>
      </w:pPr>
      <w:r>
        <w:rPr>
          <w:b/>
          <w:bCs/>
        </w:rPr>
        <w:t xml:space="preserve">Timing correction:</w:t>
      </w:r>
      <w:r>
        <w:t xml:space="preserve"> </w:t>
      </w:r>
      <w:r>
        <w:t xml:space="preserve">Meta is scheduled to release results</w:t>
      </w:r>
      <w:r>
        <w:t xml:space="preserve"> </w:t>
      </w:r>
      <w:r>
        <w:rPr>
          <w:b/>
          <w:bCs/>
        </w:rPr>
        <w:t xml:space="preserve">after the market closes today, Wednesday, July 29, 2026</w:t>
      </w:r>
      <w:r>
        <w:t xml:space="preserve">, not tomorrow. The earnings call is scheduled for 1:30 p.m. Pacific. (</w:t>
      </w:r>
      <w:hyperlink r:id="rId9">
        <w:r>
          <w:rPr>
            <w:rStyle w:val="Hyperlink"/>
          </w:rPr>
          <w:t xml:space="preserve">investor.atmeta.com</w:t>
        </w:r>
      </w:hyperlink>
      <w:r>
        <w:t xml:space="preserve">)</w:t>
      </w:r>
    </w:p>
    <w:bookmarkStart w:id="11" w:name="executive-view"/>
    <w:p>
      <w:pPr>
        <w:pStyle w:val="Heading2"/>
      </w:pPr>
      <w:r>
        <w:t xml:space="preserve">Executive view</w:t>
      </w:r>
    </w:p>
    <w:p>
      <w:pPr>
        <w:pStyle w:val="FirstParagraph"/>
      </w:pPr>
      <w:r>
        <w:t xml:space="preserve">Meta enters the report with two very different investor debates:</w:t>
      </w:r>
    </w:p>
    <w:p>
      <w:pPr>
        <w:pStyle w:val="Compact"/>
        <w:numPr>
          <w:ilvl w:val="0"/>
          <w:numId w:val="1001"/>
        </w:numPr>
      </w:pPr>
      <w:r>
        <w:rPr>
          <w:b/>
          <w:bCs/>
        </w:rPr>
        <w:t xml:space="preserve">The core advertising business appears exceptionally strong.</w:t>
      </w:r>
    </w:p>
    <w:p>
      <w:pPr>
        <w:pStyle w:val="Compact"/>
        <w:numPr>
          <w:ilvl w:val="0"/>
          <w:numId w:val="1001"/>
        </w:numPr>
      </w:pPr>
      <w:r>
        <w:rPr>
          <w:b/>
          <w:bCs/>
        </w:rPr>
        <w:t xml:space="preserve">The cost of Meta’s AI ambitions is becoming harder to ignore.</w:t>
      </w:r>
    </w:p>
    <w:p>
      <w:pPr>
        <w:pStyle w:val="FirstParagraph"/>
      </w:pPr>
      <w:r>
        <w:t xml:space="preserve">The company will probably need more than an ordinary revenue and EPS beat. The most important variables are likely to be the</w:t>
      </w:r>
      <w:r>
        <w:t xml:space="preserve"> </w:t>
      </w:r>
      <w:r>
        <w:rPr>
          <w:b/>
          <w:bCs/>
        </w:rPr>
        <w:t xml:space="preserve">Q3 revenue outlook, 2026 capex guidance, operating-expense trajectory and evidence that AI infrastructure is producing measurable returns</w:t>
      </w:r>
      <w:r>
        <w:t xml:space="preserve">.</w:t>
      </w:r>
    </w:p>
    <w:p>
      <w:pPr>
        <w:pStyle w:val="BodyText"/>
      </w:pPr>
      <w:r>
        <w:t xml:space="preserve">The setup is less demanding than it was before the previous report: Meta shares fell 8.6% around Q1 earnings despite strong operating results, largely because management raised capex guidance. (</w:t>
      </w:r>
      <w:hyperlink r:id="rId10">
        <w:r>
          <w:rPr>
            <w:rStyle w:val="Hyperlink"/>
          </w:rPr>
          <w:t xml:space="preserve">ig.com</w:t>
        </w:r>
      </w:hyperlink>
      <w:r>
        <w:t xml:space="preserve">)</w:t>
      </w:r>
    </w:p>
    <w:p>
      <w:r>
        <w:pict>
          <v:rect style="width:0;height:1.5pt" o:hralign="center" o:hrstd="t" o:hr="t"/>
        </w:pict>
      </w:r>
    </w:p>
    <w:bookmarkEnd w:id="11"/>
    <w:bookmarkStart w:id="13"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pPr>
            <w:r>
              <w:t xml:space="preserve">Investor interpretation</w:t>
            </w:r>
          </w:p>
        </w:tc>
      </w:tr>
      <w:tr>
        <w:tc>
          <w:tcPr/>
          <w:p>
            <w:pPr>
              <w:pStyle w:val="Compact"/>
            </w:pPr>
            <w:r>
              <w:t xml:space="preserve">Revenue</w:t>
            </w:r>
          </w:p>
        </w:tc>
        <w:tc>
          <w:tcPr/>
          <w:p>
            <w:pPr>
              <w:pStyle w:val="Compact"/>
              <w:jc w:val="right"/>
            </w:pPr>
            <w:r>
              <w:rPr>
                <w:b/>
                <w:bCs/>
              </w:rPr>
              <w:t xml:space="preserve">~$60.2B</w:t>
            </w:r>
          </w:p>
        </w:tc>
        <w:tc>
          <w:tcPr/>
          <w:p>
            <w:pPr>
              <w:pStyle w:val="Compact"/>
              <w:jc w:val="right"/>
            </w:pPr>
            <w:r>
              <w:t xml:space="preserve">$47.5B</w:t>
            </w:r>
          </w:p>
        </w:tc>
        <w:tc>
          <w:tcPr/>
          <w:p>
            <w:pPr>
              <w:pStyle w:val="Compact"/>
            </w:pPr>
            <w:r>
              <w:t xml:space="preserve">Roughly 27% growth</w:t>
            </w:r>
          </w:p>
        </w:tc>
      </w:tr>
      <w:tr>
        <w:tc>
          <w:tcPr/>
          <w:p>
            <w:pPr>
              <w:pStyle w:val="Compact"/>
            </w:pPr>
            <w:r>
              <w:t xml:space="preserve">Diluted EPS</w:t>
            </w:r>
          </w:p>
        </w:tc>
        <w:tc>
          <w:tcPr/>
          <w:p>
            <w:pPr>
              <w:pStyle w:val="Compact"/>
              <w:jc w:val="right"/>
            </w:pPr>
            <w:r>
              <w:rPr>
                <w:b/>
                <w:bCs/>
              </w:rPr>
              <w:t xml:space="preserve">~$7.2</w:t>
            </w:r>
          </w:p>
        </w:tc>
        <w:tc>
          <w:tcPr/>
          <w:p>
            <w:pPr>
              <w:pStyle w:val="Compact"/>
              <w:jc w:val="right"/>
            </w:pPr>
            <w:r>
              <w:t xml:space="preserve">$7.14</w:t>
            </w:r>
          </w:p>
        </w:tc>
        <w:tc>
          <w:tcPr/>
          <w:p>
            <w:pPr>
              <w:pStyle w:val="Compact"/>
            </w:pPr>
            <w:r>
              <w:t xml:space="preserve">Approximately flat despite strong revenue growth</w:t>
            </w:r>
          </w:p>
        </w:tc>
      </w:tr>
      <w:tr>
        <w:tc>
          <w:tcPr/>
          <w:p>
            <w:pPr>
              <w:pStyle w:val="Compact"/>
            </w:pPr>
            <w:r>
              <w:t xml:space="preserve">Company revenue guidance</w:t>
            </w:r>
          </w:p>
        </w:tc>
        <w:tc>
          <w:tcPr/>
          <w:p>
            <w:pPr>
              <w:pStyle w:val="Compact"/>
              <w:jc w:val="right"/>
            </w:pPr>
            <m:oMath>
              <m:r>
                <m:t>58</m:t>
              </m:r>
              <m:r>
                <m:t>B</m:t>
              </m:r>
              <m:r>
                <m:rPr>
                  <m:sty m:val="p"/>
                </m:rPr>
                <m:t>–</m:t>
              </m:r>
            </m:oMath>
            <w:r>
              <w:rPr>
                <w:b/>
                <w:bCs/>
              </w:rPr>
              <w:t xml:space="preserve">61B</w:t>
            </w:r>
          </w:p>
        </w:tc>
        <w:tc>
          <w:tcPr/>
          <w:p>
            <w:pPr>
              <w:pStyle w:val="Compact"/>
              <w:jc w:val="right"/>
            </w:pPr>
            <w:r>
              <w:t xml:space="preserve">—</w:t>
            </w:r>
          </w:p>
        </w:tc>
        <w:tc>
          <w:tcPr/>
          <w:p>
            <w:pPr>
              <w:pStyle w:val="Compact"/>
            </w:pPr>
            <w:r>
              <w:t xml:space="preserve">Consensus is near the top of the range</w:t>
            </w:r>
          </w:p>
        </w:tc>
      </w:tr>
      <w:tr>
        <w:tc>
          <w:tcPr/>
          <w:p>
            <w:pPr>
              <w:pStyle w:val="Compact"/>
            </w:pPr>
            <w:r>
              <w:t xml:space="preserve">FY26 capex guidance</w:t>
            </w:r>
          </w:p>
        </w:tc>
        <w:tc>
          <w:tcPr/>
          <w:p>
            <w:pPr>
              <w:pStyle w:val="Compact"/>
              <w:jc w:val="right"/>
            </w:pPr>
            <m:oMath>
              <m:r>
                <m:t>125</m:t>
              </m:r>
              <m:r>
                <m:t>B</m:t>
              </m:r>
              <m:r>
                <m:rPr>
                  <m:sty m:val="p"/>
                </m:rPr>
                <m:t>–</m:t>
              </m:r>
            </m:oMath>
            <w:r>
              <w:rPr>
                <w:b/>
                <w:bCs/>
              </w:rPr>
              <w:t xml:space="preserve">145B</w:t>
            </w:r>
          </w:p>
        </w:tc>
        <w:tc>
          <w:tcPr/>
          <w:p>
            <w:pPr>
              <w:pStyle w:val="Compact"/>
              <w:jc w:val="right"/>
            </w:pPr>
            <w:r>
              <w:t xml:space="preserve">—</w:t>
            </w:r>
          </w:p>
        </w:tc>
        <w:tc>
          <w:tcPr/>
          <w:p>
            <w:pPr>
              <w:pStyle w:val="Compact"/>
            </w:pPr>
            <w:r>
              <w:t xml:space="preserve">Primary swing factor</w:t>
            </w:r>
          </w:p>
        </w:tc>
      </w:tr>
      <w:tr>
        <w:tc>
          <w:tcPr/>
          <w:p>
            <w:pPr>
              <w:pStyle w:val="Compact"/>
            </w:pPr>
            <w:r>
              <w:t xml:space="preserve">FY26 expense guidance</w:t>
            </w:r>
          </w:p>
        </w:tc>
        <w:tc>
          <w:tcPr/>
          <w:p>
            <w:pPr>
              <w:pStyle w:val="Compact"/>
              <w:jc w:val="right"/>
            </w:pPr>
            <m:oMath>
              <m:r>
                <m:t>162</m:t>
              </m:r>
              <m:r>
                <m:t>B</m:t>
              </m:r>
              <m:r>
                <m:rPr>
                  <m:sty m:val="p"/>
                </m:rPr>
                <m:t>–</m:t>
              </m:r>
            </m:oMath>
            <w:r>
              <w:rPr>
                <w:b/>
                <w:bCs/>
              </w:rPr>
              <w:t xml:space="preserve">169B</w:t>
            </w:r>
          </w:p>
        </w:tc>
        <w:tc>
          <w:tcPr/>
          <w:p>
            <w:pPr>
              <w:pStyle w:val="Compact"/>
              <w:jc w:val="right"/>
            </w:pPr>
            <w:r>
              <w:t xml:space="preserve">—</w:t>
            </w:r>
          </w:p>
        </w:tc>
        <w:tc>
          <w:tcPr/>
          <w:p>
            <w:pPr>
              <w:pStyle w:val="Compact"/>
            </w:pPr>
            <w:r>
              <w:t xml:space="preserve">Determines how much ad growth reaches operating income</w:t>
            </w:r>
          </w:p>
        </w:tc>
      </w:tr>
    </w:tbl>
    <w:p>
      <w:pPr>
        <w:pStyle w:val="BodyText"/>
      </w:pPr>
      <w:r>
        <w:t xml:space="preserve">The Refinitiv consensus cited immediately before the report is $60.16 billion of revenue and $7.23 of EPS; other aggregators put EPS near $7.19. (</w:t>
      </w:r>
      <w:hyperlink r:id="rId10">
        <w:r>
          <w:rPr>
            <w:rStyle w:val="Hyperlink"/>
          </w:rPr>
          <w:t xml:space="preserve">ig.com</w:t>
        </w:r>
      </w:hyperlink>
      <w:r>
        <w:t xml:space="preserve">)</w:t>
      </w:r>
    </w:p>
    <w:p>
      <w:pPr>
        <w:pStyle w:val="BodyText"/>
      </w:pPr>
      <w:r>
        <w:t xml:space="preserve">Last year’s comparison is unusually important. Meta produced a</w:t>
      </w:r>
      <w:r>
        <w:t xml:space="preserve"> </w:t>
      </w:r>
      <w:r>
        <w:rPr>
          <w:b/>
          <w:bCs/>
        </w:rPr>
        <w:t xml:space="preserve">43% operating margin</w:t>
      </w:r>
      <w:r>
        <w:t xml:space="preserve"> </w:t>
      </w:r>
      <w:r>
        <w:t xml:space="preserve">and $7.14 of EPS in Q2 2025. If the current consensus is right, revenue will increase by roughly $12.6 billion while EPS remains almost unchanged. That would illustrate how quickly infrastructure, depreciation and AI compensation costs are absorbing incremental revenue. (</w:t>
      </w:r>
      <w:hyperlink r:id="rId12">
        <w:r>
          <w:rPr>
            <w:rStyle w:val="Hyperlink"/>
          </w:rPr>
          <w:t xml:space="preserve">investor.atmeta.com</w:t>
        </w:r>
      </w:hyperlink>
      <w:r>
        <w:t xml:space="preserve">)</w:t>
      </w:r>
    </w:p>
    <w:p>
      <w:r>
        <w:pict>
          <v:rect style="width:0;height:1.5pt" o:hralign="center" o:hrstd="t" o:hr="t"/>
        </w:pict>
      </w:r>
    </w:p>
    <w:bookmarkEnd w:id="13"/>
    <w:bookmarkStart w:id="16" w:name="X470ef14abe5aacbb82ee7355e69d823f35e749d"/>
    <w:p>
      <w:pPr>
        <w:pStyle w:val="Heading2"/>
      </w:pPr>
      <w:r>
        <w:t xml:space="preserve">1. Can the ad engine remain this strong?</w:t>
      </w:r>
    </w:p>
    <w:p>
      <w:pPr>
        <w:pStyle w:val="FirstParagraph"/>
      </w:pPr>
      <w:r>
        <w:t xml:space="preserve">Q1 set a high bar:</w:t>
      </w:r>
    </w:p>
    <w:p>
      <w:pPr>
        <w:pStyle w:val="Compact"/>
        <w:numPr>
          <w:ilvl w:val="0"/>
          <w:numId w:val="1002"/>
        </w:numPr>
      </w:pPr>
      <w:r>
        <w:t xml:space="preserve">Revenue increased</w:t>
      </w:r>
      <w:r>
        <w:t xml:space="preserve"> </w:t>
      </w:r>
      <w:r>
        <w:rPr>
          <w:b/>
          <w:bCs/>
        </w:rPr>
        <w:t xml:space="preserve">33%</w:t>
      </w:r>
    </w:p>
    <w:p>
      <w:pPr>
        <w:pStyle w:val="Compact"/>
        <w:numPr>
          <w:ilvl w:val="0"/>
          <w:numId w:val="1002"/>
        </w:numPr>
      </w:pPr>
      <w:r>
        <w:t xml:space="preserve">Ad impressions increased</w:t>
      </w:r>
      <w:r>
        <w:t xml:space="preserve"> </w:t>
      </w:r>
      <w:r>
        <w:rPr>
          <w:b/>
          <w:bCs/>
        </w:rPr>
        <w:t xml:space="preserve">19%</w:t>
      </w:r>
    </w:p>
    <w:p>
      <w:pPr>
        <w:pStyle w:val="Compact"/>
        <w:numPr>
          <w:ilvl w:val="0"/>
          <w:numId w:val="1002"/>
        </w:numPr>
      </w:pPr>
      <w:r>
        <w:t xml:space="preserve">Average price per ad increased</w:t>
      </w:r>
      <w:r>
        <w:t xml:space="preserve"> </w:t>
      </w:r>
      <w:r>
        <w:rPr>
          <w:b/>
          <w:bCs/>
        </w:rPr>
        <w:t xml:space="preserve">12%</w:t>
      </w:r>
    </w:p>
    <w:p>
      <w:pPr>
        <w:pStyle w:val="Compact"/>
        <w:numPr>
          <w:ilvl w:val="0"/>
          <w:numId w:val="1002"/>
        </w:numPr>
      </w:pPr>
      <w:r>
        <w:t xml:space="preserve">Family daily active people reached</w:t>
      </w:r>
      <w:r>
        <w:t xml:space="preserve"> </w:t>
      </w:r>
      <w:r>
        <w:rPr>
          <w:b/>
          <w:bCs/>
        </w:rPr>
        <w:t xml:space="preserve">3.56 billion</w:t>
      </w:r>
      <w:r>
        <w:t xml:space="preserve">, up 4%</w:t>
      </w:r>
    </w:p>
    <w:p>
      <w:pPr>
        <w:pStyle w:val="Compact"/>
        <w:numPr>
          <w:ilvl w:val="0"/>
          <w:numId w:val="1002"/>
        </w:numPr>
      </w:pPr>
      <w:r>
        <w:t xml:space="preserve">Family of Apps generated $26.9 billion of operating income</w:t>
      </w:r>
    </w:p>
    <w:p>
      <w:pPr>
        <w:pStyle w:val="FirstParagraph"/>
      </w:pPr>
      <w:r>
        <w:t xml:space="preserve">Meta also said Q1 benefited from AI-driven improvements in recommendations, ad ranking and creative tools. Company guidance subsequently called for Q2 revenue of $58 billion to $61 billion, including an approximately two-percentage-point currency benefit. (</w:t>
      </w:r>
      <w:hyperlink r:id="rId14">
        <w:r>
          <w:rPr>
            <w:rStyle w:val="Hyperlink"/>
          </w:rPr>
          <w:t xml:space="preserve">investor.atmeta.com</w:t>
        </w:r>
      </w:hyperlink>
      <w:r>
        <w:t xml:space="preserve">)</w:t>
      </w:r>
    </w:p>
    <w:bookmarkStart w:id="15" w:name="what-matters-in-q2"/>
    <w:p>
      <w:pPr>
        <w:pStyle w:val="Heading3"/>
      </w:pPr>
      <w:r>
        <w:t xml:space="preserve">What matters in Q2</w:t>
      </w:r>
    </w:p>
    <w:p>
      <w:pPr>
        <w:pStyle w:val="FirstParagraph"/>
      </w:pPr>
      <w:r>
        <w:t xml:space="preserve">Investors should focus less on whether impressions or pricing alone lead growth and more on whether both remain healthy:</w:t>
      </w:r>
    </w:p>
    <w:p>
      <w:pPr>
        <w:pStyle w:val="Compact"/>
        <w:numPr>
          <w:ilvl w:val="0"/>
          <w:numId w:val="1003"/>
        </w:numPr>
      </w:pPr>
      <w:r>
        <w:rPr>
          <w:b/>
          <w:bCs/>
        </w:rPr>
        <w:t xml:space="preserve">Impression growth:</w:t>
      </w:r>
      <w:r>
        <w:t xml:space="preserve"> </w:t>
      </w:r>
      <w:r>
        <w:t xml:space="preserve">A continuation of double-digit growth would suggest Reels, video, Threads and WhatsApp inventory are expanding without exhausting engagement.</w:t>
      </w:r>
    </w:p>
    <w:p>
      <w:pPr>
        <w:pStyle w:val="Compact"/>
        <w:numPr>
          <w:ilvl w:val="0"/>
          <w:numId w:val="1003"/>
        </w:numPr>
      </w:pPr>
      <w:r>
        <w:rPr>
          <w:b/>
          <w:bCs/>
        </w:rPr>
        <w:t xml:space="preserve">Price per ad:</w:t>
      </w:r>
      <w:r>
        <w:t xml:space="preserve"> </w:t>
      </w:r>
      <w:r>
        <w:t xml:space="preserve">Strong pricing would indicate that AI-driven targeting and conversion improvements are creating real advertiser value.</w:t>
      </w:r>
    </w:p>
    <w:p>
      <w:pPr>
        <w:pStyle w:val="Compact"/>
        <w:numPr>
          <w:ilvl w:val="0"/>
          <w:numId w:val="1003"/>
        </w:numPr>
      </w:pPr>
      <w:r>
        <w:rPr>
          <w:b/>
          <w:bCs/>
        </w:rPr>
        <w:t xml:space="preserve">Constant-currency growth:</w:t>
      </w:r>
      <w:r>
        <w:t xml:space="preserve"> </w:t>
      </w:r>
      <w:r>
        <w:t xml:space="preserve">Reported revenue will receive help from foreign exchange, so underlying growth should be evaluated separately.</w:t>
      </w:r>
    </w:p>
    <w:p>
      <w:pPr>
        <w:pStyle w:val="Compact"/>
        <w:numPr>
          <w:ilvl w:val="0"/>
          <w:numId w:val="1003"/>
        </w:numPr>
      </w:pPr>
      <w:r>
        <w:rPr>
          <w:b/>
          <w:bCs/>
        </w:rPr>
        <w:t xml:space="preserve">Advertiser commentary:</w:t>
      </w:r>
      <w:r>
        <w:t xml:space="preserve"> </w:t>
      </w:r>
      <w:r>
        <w:t xml:space="preserve">Watch for strength or weakness among small businesses, e-commerce advertisers and Asia-based advertisers targeting Western consumers.</w:t>
      </w:r>
    </w:p>
    <w:p>
      <w:pPr>
        <w:pStyle w:val="FirstParagraph"/>
      </w:pPr>
      <w:r>
        <w:t xml:space="preserve">A result near $60.2 billion would technically be solid, but because that is already close to the top of management’s range, the market may require</w:t>
      </w:r>
      <w:r>
        <w:t xml:space="preserve"> </w:t>
      </w:r>
      <w:r>
        <w:rPr>
          <w:b/>
          <w:bCs/>
        </w:rPr>
        <w:t xml:space="preserve">revenue above $61 billion or a particularly strong Q3 outlook</w:t>
      </w:r>
      <w:r>
        <w:t xml:space="preserve"> </w:t>
      </w:r>
      <w:r>
        <w:t xml:space="preserve">to treat the quarter as a meaningful beat.</w:t>
      </w:r>
    </w:p>
    <w:p>
      <w:r>
        <w:pict>
          <v:rect style="width:0;height:1.5pt" o:hralign="center" o:hrstd="t" o:hr="t"/>
        </w:pict>
      </w:r>
    </w:p>
    <w:bookmarkEnd w:id="15"/>
    <w:bookmarkEnd w:id="16"/>
    <w:bookmarkStart w:id="17" w:name="X0b7bf3106f774d096ed6c707af9f95c1f47321a"/>
    <w:p>
      <w:pPr>
        <w:pStyle w:val="Heading2"/>
      </w:pPr>
      <w:r>
        <w:t xml:space="preserve">2. The Q3 guide may matter more than Q2 results</w:t>
      </w:r>
    </w:p>
    <w:p>
      <w:pPr>
        <w:pStyle w:val="FirstParagraph"/>
      </w:pPr>
      <w:r>
        <w:t xml:space="preserve">Meta’s Q2 performance covers a period investors largely expect was healthy. The Q3 outlook will provide the cleaner read on:</w:t>
      </w:r>
    </w:p>
    <w:p>
      <w:pPr>
        <w:pStyle w:val="Compact"/>
        <w:numPr>
          <w:ilvl w:val="0"/>
          <w:numId w:val="1004"/>
        </w:numPr>
      </w:pPr>
      <w:r>
        <w:t xml:space="preserve">The durability of advertising demand</w:t>
      </w:r>
    </w:p>
    <w:p>
      <w:pPr>
        <w:pStyle w:val="Compact"/>
        <w:numPr>
          <w:ilvl w:val="0"/>
          <w:numId w:val="1004"/>
        </w:numPr>
      </w:pPr>
      <w:r>
        <w:t xml:space="preserve">Whether growth is slowing as comparisons become more difficult</w:t>
      </w:r>
    </w:p>
    <w:p>
      <w:pPr>
        <w:pStyle w:val="Compact"/>
        <w:numPr>
          <w:ilvl w:val="0"/>
          <w:numId w:val="1004"/>
        </w:numPr>
      </w:pPr>
      <w:r>
        <w:t xml:space="preserve">The contribution from Threads and WhatsApp monetization</w:t>
      </w:r>
    </w:p>
    <w:p>
      <w:pPr>
        <w:pStyle w:val="Compact"/>
        <w:numPr>
          <w:ilvl w:val="0"/>
          <w:numId w:val="1004"/>
        </w:numPr>
      </w:pPr>
      <w:r>
        <w:t xml:space="preserve">Whether recent engagement gains are translating into additional inventory</w:t>
      </w:r>
    </w:p>
    <w:p>
      <w:pPr>
        <w:pStyle w:val="Compact"/>
        <w:numPr>
          <w:ilvl w:val="0"/>
          <w:numId w:val="1004"/>
        </w:numPr>
      </w:pPr>
      <w:r>
        <w:t xml:space="preserve">Any deterioration caused by macroeconomic or regulatory conditions</w:t>
      </w:r>
    </w:p>
    <w:p>
      <w:pPr>
        <w:pStyle w:val="FirstParagraph"/>
      </w:pPr>
      <w:r>
        <w:t xml:space="preserve">A strong report would ideally combine:</w:t>
      </w:r>
    </w:p>
    <w:p>
      <w:pPr>
        <w:pStyle w:val="Compact"/>
        <w:numPr>
          <w:ilvl w:val="0"/>
          <w:numId w:val="1005"/>
        </w:numPr>
      </w:pPr>
      <w:r>
        <w:t xml:space="preserve">Q2 revenue at or above the top of the</w:t>
      </w:r>
      <w:r>
        <w:t xml:space="preserve"> </w:t>
      </w:r>
      <m:oMath>
        <m:r>
          <m:t>58</m:t>
        </m:r>
        <m:r>
          <m:t>b</m:t>
        </m:r>
        <m:r>
          <m:t>i</m:t>
        </m:r>
        <m:r>
          <m:t>l</m:t>
        </m:r>
        <m:r>
          <m:t>l</m:t>
        </m:r>
        <m:r>
          <m:t>i</m:t>
        </m:r>
        <m:r>
          <m:t>o</m:t>
        </m:r>
        <m:r>
          <m:t>n</m:t>
        </m:r>
        <m:r>
          <m:rPr>
            <m:sty m:val="p"/>
          </m:rPr>
          <m:t>–</m:t>
        </m:r>
      </m:oMath>
      <w:r>
        <w:t xml:space="preserve">61 billion range;</w:t>
      </w:r>
    </w:p>
    <w:p>
      <w:pPr>
        <w:pStyle w:val="Compact"/>
        <w:numPr>
          <w:ilvl w:val="0"/>
          <w:numId w:val="1005"/>
        </w:numPr>
      </w:pPr>
      <w:r>
        <w:t xml:space="preserve">A Q3 outlook showing that growth remains comfortably above the broader digital-ad market;</w:t>
      </w:r>
    </w:p>
    <w:p>
      <w:pPr>
        <w:pStyle w:val="Compact"/>
        <w:numPr>
          <w:ilvl w:val="0"/>
          <w:numId w:val="1005"/>
        </w:numPr>
      </w:pPr>
      <w:r>
        <w:t xml:space="preserve">No indication that revenue growth is being purchased through excessive spending or ad load.</w:t>
      </w:r>
    </w:p>
    <w:p>
      <w:pPr>
        <w:pStyle w:val="FirstParagraph"/>
      </w:pPr>
      <w:r>
        <w:t xml:space="preserve">An ordinary Q2 beat paired with cautious Q3 guidance would likely be treated as a disappointment.</w:t>
      </w:r>
    </w:p>
    <w:p>
      <w:r>
        <w:pict>
          <v:rect style="width:0;height:1.5pt" o:hralign="center" o:hrstd="t" o:hr="t"/>
        </w:pict>
      </w:r>
    </w:p>
    <w:bookmarkEnd w:id="17"/>
    <w:bookmarkStart w:id="23" w:name="X7e81d5e65bdc96ebc3a2688c9ae5f7079a24cdf"/>
    <w:p>
      <w:pPr>
        <w:pStyle w:val="Heading2"/>
      </w:pPr>
      <w:r>
        <w:t xml:space="preserve">3. Capex is the real earnings-day test</w:t>
      </w:r>
    </w:p>
    <w:p>
      <w:pPr>
        <w:pStyle w:val="FirstParagraph"/>
      </w:pPr>
      <w:r>
        <w:t xml:space="preserve">Meta raised its 2026 capex outlook last quarter from</w:t>
      </w:r>
      <w:r>
        <w:t xml:space="preserve"> </w:t>
      </w:r>
      <m:oMath>
        <m:r>
          <m:t>115</m:t>
        </m:r>
        <m:r>
          <m:t>b</m:t>
        </m:r>
        <m:r>
          <m:t>i</m:t>
        </m:r>
        <m:r>
          <m:t>l</m:t>
        </m:r>
        <m:r>
          <m:t>l</m:t>
        </m:r>
        <m:r>
          <m:t>i</m:t>
        </m:r>
        <m:r>
          <m:t>o</m:t>
        </m:r>
        <m:r>
          <m:t>n</m:t>
        </m:r>
        <m:r>
          <m:rPr>
            <m:sty m:val="p"/>
          </m:rPr>
          <m:t>–</m:t>
        </m:r>
      </m:oMath>
      <w:r>
        <w:rPr>
          <w:b/>
          <w:bCs/>
        </w:rPr>
        <w:t xml:space="preserve">135 billion to</w:t>
      </w:r>
      <w:r>
        <w:rPr>
          <w:b/>
          <w:bCs/>
        </w:rPr>
        <w:t xml:space="preserve"> </w:t>
      </w:r>
      <m:oMath>
        <m:r>
          <m:t>125</m:t>
        </m:r>
        <m:r>
          <m:t>b</m:t>
        </m:r>
        <m:r>
          <m:t>i</m:t>
        </m:r>
        <m:r>
          <m:t>l</m:t>
        </m:r>
        <m:r>
          <m:t>l</m:t>
        </m:r>
        <m:r>
          <m:t>i</m:t>
        </m:r>
        <m:r>
          <m:t>o</m:t>
        </m:r>
        <m:r>
          <m:t>n</m:t>
        </m:r>
        <m:r>
          <m:rPr>
            <m:sty m:val="p"/>
          </m:rPr>
          <m:t>–</m:t>
        </m:r>
      </m:oMath>
      <w:r>
        <w:rPr>
          <w:b/>
          <w:bCs/>
        </w:rPr>
        <w:t xml:space="preserve">145 billion</w:t>
      </w:r>
      <w:r>
        <w:t xml:space="preserve">, citing higher component pricing and additional data-center costs. It maintained full-year expense guidance of</w:t>
      </w:r>
      <w:r>
        <w:t xml:space="preserve"> </w:t>
      </w:r>
      <m:oMath>
        <m:r>
          <m:t>162</m:t>
        </m:r>
        <m:r>
          <m:t>b</m:t>
        </m:r>
        <m:r>
          <m:t>i</m:t>
        </m:r>
        <m:r>
          <m:t>l</m:t>
        </m:r>
        <m:r>
          <m:t>l</m:t>
        </m:r>
        <m:r>
          <m:t>i</m:t>
        </m:r>
        <m:r>
          <m:t>o</m:t>
        </m:r>
        <m:r>
          <m:t>n</m:t>
        </m:r>
        <m:r>
          <m:rPr>
            <m:sty m:val="p"/>
          </m:rPr>
          <m:t>–</m:t>
        </m:r>
      </m:oMath>
      <w:r>
        <w:t xml:space="preserve">169 billion and said 2026 operating income should still exceed 2025 operating income. (</w:t>
      </w:r>
      <w:hyperlink r:id="rId14">
        <w:r>
          <w:rPr>
            <w:rStyle w:val="Hyperlink"/>
          </w:rPr>
          <w:t xml:space="preserve">investor.atmeta.com</w:t>
        </w:r>
      </w:hyperlink>
      <w:r>
        <w:t xml:space="preserve">)</w:t>
      </w:r>
    </w:p>
    <w:p>
      <w:pPr>
        <w:pStyle w:val="BodyText"/>
      </w:pPr>
      <w:r>
        <w:t xml:space="preserve">The spending commitments are already substantial. At March 31, Meta reported approximately</w:t>
      </w:r>
      <w:r>
        <w:t xml:space="preserve"> </w:t>
      </w:r>
      <w:r>
        <w:rPr>
          <w:b/>
          <w:bCs/>
        </w:rPr>
        <w:t xml:space="preserve">$237.7 billion of non-cancelable contractual commitments</w:t>
      </w:r>
      <w:r>
        <w:t xml:space="preserve">, primarily for cloud capacity, servers, networking and data centers, followed by another approximately $24 billion of infrastructure contracts entered into during April. (</w:t>
      </w:r>
      <w:hyperlink r:id="rId18">
        <w:r>
          <w:rPr>
            <w:rStyle w:val="Hyperlink"/>
          </w:rPr>
          <w:t xml:space="preserve">sec.gov</w:t>
        </w:r>
      </w:hyperlink>
      <w:r>
        <w:t xml:space="preserve">)</w:t>
      </w:r>
    </w:p>
    <w:p>
      <w:pPr>
        <w:pStyle w:val="BodyText"/>
      </w:pPr>
      <w:r>
        <w:t xml:space="preserve">Investor sensitivity has increased after Alphabet’s latest capex increase triggered selling across hyperscaler stocks. Meta faces particular scrutiny because it does not yet have a mature public-cloud business generating direct revenue against its infrastructure spending. (</w:t>
      </w:r>
      <w:hyperlink r:id="rId19">
        <w:r>
          <w:rPr>
            <w:rStyle w:val="Hyperlink"/>
          </w:rPr>
          <w:t xml:space="preserve">investor.atmeta.com</w:t>
        </w:r>
      </w:hyperlink>
      <w:r>
        <w:t xml:space="preserve">)</w:t>
      </w:r>
    </w:p>
    <w:bookmarkStart w:id="20" w:name="what-would-be-reassuring"/>
    <w:p>
      <w:pPr>
        <w:pStyle w:val="Heading3"/>
      </w:pPr>
      <w:r>
        <w:t xml:space="preserve">What would be reassuring</w:t>
      </w:r>
    </w:p>
    <w:p>
      <w:pPr>
        <w:pStyle w:val="Compact"/>
        <w:numPr>
          <w:ilvl w:val="0"/>
          <w:numId w:val="1006"/>
        </w:numPr>
      </w:pPr>
      <w:r>
        <w:t xml:space="preserve">Capex guidance remains at</w:t>
      </w:r>
      <w:r>
        <w:t xml:space="preserve"> </w:t>
      </w:r>
      <m:oMath>
        <m:r>
          <m:t>125</m:t>
        </m:r>
        <m:r>
          <m:t>b</m:t>
        </m:r>
        <m:r>
          <m:t>i</m:t>
        </m:r>
        <m:r>
          <m:t>l</m:t>
        </m:r>
        <m:r>
          <m:t>l</m:t>
        </m:r>
        <m:r>
          <m:t>i</m:t>
        </m:r>
        <m:r>
          <m:t>o</m:t>
        </m:r>
        <m:r>
          <m:t>n</m:t>
        </m:r>
        <m:r>
          <m:rPr>
            <m:sty m:val="p"/>
          </m:rPr>
          <m:t>–</m:t>
        </m:r>
      </m:oMath>
      <w:r>
        <w:t xml:space="preserve">145 billion.</w:t>
      </w:r>
    </w:p>
    <w:p>
      <w:pPr>
        <w:pStyle w:val="Compact"/>
        <w:numPr>
          <w:ilvl w:val="0"/>
          <w:numId w:val="1006"/>
        </w:numPr>
      </w:pPr>
      <w:r>
        <w:t xml:space="preserve">Expense guidance is maintained or narrowed.</w:t>
      </w:r>
    </w:p>
    <w:p>
      <w:pPr>
        <w:pStyle w:val="Compact"/>
        <w:numPr>
          <w:ilvl w:val="0"/>
          <w:numId w:val="1006"/>
        </w:numPr>
      </w:pPr>
      <w:r>
        <w:t xml:space="preserve">Management offers concrete AI return metrics from ads, recommendations or employee productivity.</w:t>
      </w:r>
    </w:p>
    <w:p>
      <w:pPr>
        <w:pStyle w:val="Compact"/>
        <w:numPr>
          <w:ilvl w:val="0"/>
          <w:numId w:val="1006"/>
        </w:numPr>
      </w:pPr>
      <w:r>
        <w:t xml:space="preserve">Free cash flow remains clearly positive despite the investment cycle.</w:t>
      </w:r>
    </w:p>
    <w:p>
      <w:pPr>
        <w:pStyle w:val="Compact"/>
        <w:numPr>
          <w:ilvl w:val="0"/>
          <w:numId w:val="1006"/>
        </w:numPr>
      </w:pPr>
      <w:r>
        <w:t xml:space="preserve">Management presents external compute sales as incremental monetization—not evidence that Meta overbuilt.</w:t>
      </w:r>
    </w:p>
    <w:bookmarkEnd w:id="20"/>
    <w:bookmarkStart w:id="22" w:name="what-would-worry-investors"/>
    <w:p>
      <w:pPr>
        <w:pStyle w:val="Heading3"/>
      </w:pPr>
      <w:r>
        <w:t xml:space="preserve">What would worry investors</w:t>
      </w:r>
    </w:p>
    <w:p>
      <w:pPr>
        <w:pStyle w:val="Compact"/>
        <w:numPr>
          <w:ilvl w:val="0"/>
          <w:numId w:val="1007"/>
        </w:numPr>
      </w:pPr>
      <w:r>
        <w:t xml:space="preserve">Another increase to capex guidance.</w:t>
      </w:r>
    </w:p>
    <w:p>
      <w:pPr>
        <w:pStyle w:val="Compact"/>
        <w:numPr>
          <w:ilvl w:val="0"/>
          <w:numId w:val="1007"/>
        </w:numPr>
      </w:pPr>
      <w:r>
        <w:t xml:space="preserve">Early indications of a large additional increase in 2027.</w:t>
      </w:r>
    </w:p>
    <w:p>
      <w:pPr>
        <w:pStyle w:val="Compact"/>
        <w:numPr>
          <w:ilvl w:val="0"/>
          <w:numId w:val="1007"/>
        </w:numPr>
      </w:pPr>
      <w:r>
        <w:t xml:space="preserve">Higher depreciation or infrastructure costs without an offsetting revenue benefit.</w:t>
      </w:r>
    </w:p>
    <w:p>
      <w:pPr>
        <w:pStyle w:val="Compact"/>
        <w:numPr>
          <w:ilvl w:val="0"/>
          <w:numId w:val="1007"/>
        </w:numPr>
      </w:pPr>
      <w:r>
        <w:t xml:space="preserve">Greater reliance on debt or off-balance-sheet financing.</w:t>
      </w:r>
    </w:p>
    <w:p>
      <w:pPr>
        <w:pStyle w:val="Compact"/>
        <w:numPr>
          <w:ilvl w:val="0"/>
          <w:numId w:val="1007"/>
        </w:numPr>
      </w:pPr>
      <w:r>
        <w:t xml:space="preserve">Reduced buybacks as spending consumes more cash.</w:t>
      </w:r>
    </w:p>
    <w:p>
      <w:pPr>
        <w:pStyle w:val="FirstParagraph"/>
      </w:pPr>
      <w:r>
        <w:t xml:space="preserve">Meta’s newly announced BlackRock venture for an approximately</w:t>
      </w:r>
      <w:r>
        <w:t xml:space="preserve"> </w:t>
      </w:r>
      <w:r>
        <w:rPr>
          <w:b/>
          <w:bCs/>
        </w:rPr>
        <w:t xml:space="preserve">$14 billion El Paso data-center campus</w:t>
      </w:r>
      <w:r>
        <w:t xml:space="preserve"> </w:t>
      </w:r>
      <w:r>
        <w:t xml:space="preserve">demonstrates how aggressively the company is expanding while bringing in outside capital. Meta will initially contribute assets valued at about $2.3 billion, while BlackRock will contribute approximately $4.9 billion in cash. (</w:t>
      </w:r>
      <w:hyperlink r:id="rId21">
        <w:r>
          <w:rPr>
            <w:rStyle w:val="Hyperlink"/>
          </w:rPr>
          <w:t xml:space="preserve">investing.com</w:t>
        </w:r>
      </w:hyperlink>
      <w:r>
        <w:t xml:space="preserve">)</w:t>
      </w:r>
    </w:p>
    <w:p>
      <w:r>
        <w:pict>
          <v:rect style="width:0;height:1.5pt" o:hralign="center" o:hrstd="t" o:hr="t"/>
        </w:pict>
      </w:r>
    </w:p>
    <w:bookmarkEnd w:id="22"/>
    <w:bookmarkEnd w:id="23"/>
    <w:bookmarkStart w:id="28" w:name="Xa4f6814622a96ce4500b8e848fb72e248a60691"/>
    <w:p>
      <w:pPr>
        <w:pStyle w:val="Heading2"/>
      </w:pPr>
      <w:r>
        <w:t xml:space="preserve">4. Investors need evidence of AI returns—not just AI progress</w:t>
      </w:r>
    </w:p>
    <w:p>
      <w:pPr>
        <w:pStyle w:val="FirstParagraph"/>
      </w:pPr>
      <w:r>
        <w:t xml:space="preserve">Meta has several ways to earn a return on AI spending:</w:t>
      </w:r>
    </w:p>
    <w:bookmarkStart w:id="24" w:name="X7d1f300e25c96dbc5175d2e4e3f7afb2f1a2f5b"/>
    <w:p>
      <w:pPr>
        <w:pStyle w:val="Heading3"/>
      </w:pPr>
      <w:r>
        <w:t xml:space="preserve">Near term: improve the existing ad business</w:t>
      </w:r>
    </w:p>
    <w:p>
      <w:pPr>
        <w:pStyle w:val="FirstParagraph"/>
      </w:pPr>
      <w:r>
        <w:t xml:space="preserve">This is the most credible and financially important path. Better recommendation systems increase time spent and inventory, while improved ad models increase conversion rates and pricing.</w:t>
      </w:r>
    </w:p>
    <w:p>
      <w:pPr>
        <w:pStyle w:val="BodyText"/>
      </w:pPr>
      <w:r>
        <w:t xml:space="preserve">Useful disclosures would include:</w:t>
      </w:r>
    </w:p>
    <w:p>
      <w:pPr>
        <w:pStyle w:val="Compact"/>
        <w:numPr>
          <w:ilvl w:val="0"/>
          <w:numId w:val="1008"/>
        </w:numPr>
      </w:pPr>
      <w:r>
        <w:t xml:space="preserve">Engagement gains from recommendation-model improvements</w:t>
      </w:r>
    </w:p>
    <w:p>
      <w:pPr>
        <w:pStyle w:val="Compact"/>
        <w:numPr>
          <w:ilvl w:val="0"/>
          <w:numId w:val="1008"/>
        </w:numPr>
      </w:pPr>
      <w:r>
        <w:t xml:space="preserve">Conversion-rate improvements in major ad products</w:t>
      </w:r>
    </w:p>
    <w:p>
      <w:pPr>
        <w:pStyle w:val="Compact"/>
        <w:numPr>
          <w:ilvl w:val="0"/>
          <w:numId w:val="1008"/>
        </w:numPr>
      </w:pPr>
      <w:r>
        <w:t xml:space="preserve">Adoption of generative-AI creative tools</w:t>
      </w:r>
    </w:p>
    <w:p>
      <w:pPr>
        <w:pStyle w:val="Compact"/>
        <w:numPr>
          <w:ilvl w:val="0"/>
          <w:numId w:val="1008"/>
        </w:numPr>
      </w:pPr>
      <w:r>
        <w:t xml:space="preserve">Growth in advertiser return on ad spend</w:t>
      </w:r>
    </w:p>
    <w:p>
      <w:pPr>
        <w:pStyle w:val="Compact"/>
        <w:numPr>
          <w:ilvl w:val="0"/>
          <w:numId w:val="1008"/>
        </w:numPr>
      </w:pPr>
      <w:r>
        <w:t xml:space="preserve">Improvements in ad ranking from larger models</w:t>
      </w:r>
    </w:p>
    <w:bookmarkEnd w:id="24"/>
    <w:bookmarkStart w:id="25" w:name="X2d04b5be68cf5ace635bd37e722d898fe09cb02"/>
    <w:p>
      <w:pPr>
        <w:pStyle w:val="Heading3"/>
      </w:pPr>
      <w:r>
        <w:t xml:space="preserve">Medium term: monetize messaging and new surfaces</w:t>
      </w:r>
    </w:p>
    <w:p>
      <w:pPr>
        <w:pStyle w:val="FirstParagraph"/>
      </w:pPr>
      <w:r>
        <w:t xml:space="preserve">Investors should look for updates on:</w:t>
      </w:r>
    </w:p>
    <w:p>
      <w:pPr>
        <w:pStyle w:val="Compact"/>
        <w:numPr>
          <w:ilvl w:val="0"/>
          <w:numId w:val="1009"/>
        </w:numPr>
      </w:pPr>
      <w:r>
        <w:t xml:space="preserve">Ads in WhatsApp Status</w:t>
      </w:r>
    </w:p>
    <w:p>
      <w:pPr>
        <w:pStyle w:val="Compact"/>
        <w:numPr>
          <w:ilvl w:val="0"/>
          <w:numId w:val="1009"/>
        </w:numPr>
      </w:pPr>
      <w:r>
        <w:t xml:space="preserve">Paid business messaging</w:t>
      </w:r>
    </w:p>
    <w:p>
      <w:pPr>
        <w:pStyle w:val="Compact"/>
        <w:numPr>
          <w:ilvl w:val="0"/>
          <w:numId w:val="1009"/>
        </w:numPr>
      </w:pPr>
      <w:r>
        <w:t xml:space="preserve">WhatsApp and Messenger business agents</w:t>
      </w:r>
    </w:p>
    <w:p>
      <w:pPr>
        <w:pStyle w:val="Compact"/>
        <w:numPr>
          <w:ilvl w:val="0"/>
          <w:numId w:val="1009"/>
        </w:numPr>
      </w:pPr>
      <w:r>
        <w:t xml:space="preserve">Threads ad availability and advertiser adoption</w:t>
      </w:r>
    </w:p>
    <w:p>
      <w:pPr>
        <w:pStyle w:val="Compact"/>
        <w:numPr>
          <w:ilvl w:val="0"/>
          <w:numId w:val="1009"/>
        </w:numPr>
      </w:pPr>
      <w:r>
        <w:t xml:space="preserve">Marketplace and commerce initiatives</w:t>
      </w:r>
    </w:p>
    <w:p>
      <w:pPr>
        <w:pStyle w:val="FirstParagraph"/>
      </w:pPr>
      <w:r>
        <w:t xml:space="preserve">These opportunities could extend growth without requiring major increases in ad load on Instagram and Facebook.</w:t>
      </w:r>
    </w:p>
    <w:bookmarkEnd w:id="25"/>
    <w:bookmarkStart w:id="27" w:name="longer-term-meta-ai-and-compute-sales"/>
    <w:p>
      <w:pPr>
        <w:pStyle w:val="Heading3"/>
      </w:pPr>
      <w:r>
        <w:t xml:space="preserve">Longer term: Meta AI and compute sales</w:t>
      </w:r>
    </w:p>
    <w:p>
      <w:pPr>
        <w:pStyle w:val="FirstParagraph"/>
      </w:pPr>
      <w:r>
        <w:t xml:space="preserve">Meta’s consumer assistant remains strategically important but is not yet the central earnings driver. Investors need usage retention, cost-per-query and a credible monetization path—not just download or availability statistics.</w:t>
      </w:r>
    </w:p>
    <w:p>
      <w:pPr>
        <w:pStyle w:val="BodyText"/>
      </w:pPr>
      <w:r>
        <w:t xml:space="preserve">Meta is also reportedly in early talks to lease computing power to Anthropic in a potential deal worth as much as $10 billion over two years. If confirmed, that could create an additional return on Meta’s infrastructure. However, investors may also ask why supposedly scarce internal compute is available for third-party use and what margins such a business would produce. (</w:t>
      </w:r>
      <w:hyperlink r:id="rId26">
        <w:r>
          <w:rPr>
            <w:rStyle w:val="Hyperlink"/>
          </w:rPr>
          <w:t xml:space="preserve">news.bloomberglaw.com</w:t>
        </w:r>
      </w:hyperlink>
      <w:r>
        <w:t xml:space="preserve">)</w:t>
      </w:r>
    </w:p>
    <w:p>
      <w:r>
        <w:pict>
          <v:rect style="width:0;height:1.5pt" o:hralign="center" o:hrstd="t" o:hr="t"/>
        </w:pict>
      </w:r>
    </w:p>
    <w:bookmarkEnd w:id="27"/>
    <w:bookmarkEnd w:id="28"/>
    <w:bookmarkStart w:id="29" w:name="X05bbac33f2cdd2ec830176a60fe0bb800eb117b"/>
    <w:p>
      <w:pPr>
        <w:pStyle w:val="Heading2"/>
      </w:pPr>
      <w:r>
        <w:t xml:space="preserve">5. Margins and free cash flow deserve more attention than headline EPS</w:t>
      </w:r>
    </w:p>
    <w:p>
      <w:pPr>
        <w:pStyle w:val="FirstParagraph"/>
      </w:pPr>
      <w:r>
        <w:t xml:space="preserve">Q1 EPS of</w:t>
      </w:r>
      <w:r>
        <w:t xml:space="preserve"> </w:t>
      </w:r>
      <m:oMath>
        <m:r>
          <m:t>10.44</m:t>
        </m:r>
        <m:r>
          <m:t>w</m:t>
        </m:r>
        <m:r>
          <m:t>a</m:t>
        </m:r>
        <m:r>
          <m:t>s</m:t>
        </m:r>
        <m:r>
          <m:t>i</m:t>
        </m:r>
        <m:r>
          <m:t>n</m:t>
        </m:r>
        <m:r>
          <m:t>f</m:t>
        </m:r>
        <m:r>
          <m:t>l</m:t>
        </m:r>
        <m:r>
          <m:t>a</m:t>
        </m:r>
        <m:r>
          <m:t>t</m:t>
        </m:r>
        <m:r>
          <m:t>e</m:t>
        </m:r>
        <m:r>
          <m:t>d</m:t>
        </m:r>
        <m:r>
          <m:t>b</m:t>
        </m:r>
        <m:r>
          <m:t>y</m:t>
        </m:r>
        <m:r>
          <m:t>a</m:t>
        </m:r>
        <m:r>
          <m:t>n</m:t>
        </m:r>
        <m:r>
          <m:rPr>
            <m:sty m:val="p"/>
          </m:rPr>
          <m:t>*</m:t>
        </m:r>
        <m:r>
          <m:rPr>
            <m:sty m:val="p"/>
          </m:rPr>
          <m:t>*</m:t>
        </m:r>
      </m:oMath>
      <w:r>
        <w:t xml:space="preserve">8.03 billion tax benefit**. Excluding that benefit, EPS would have been $7.31. Meta expects a tax rate of 13%–16% for the remaining quarters of 2026. (</w:t>
      </w:r>
      <w:hyperlink r:id="rId14">
        <w:r>
          <w:rPr>
            <w:rStyle w:val="Hyperlink"/>
          </w:rPr>
          <w:t xml:space="preserve">investor.atmeta.com</w:t>
        </w:r>
      </w:hyperlink>
      <w:r>
        <w:t xml:space="preserve">)</w:t>
      </w:r>
    </w:p>
    <w:p>
      <w:pPr>
        <w:pStyle w:val="BodyText"/>
      </w:pPr>
      <w:r>
        <w:t xml:space="preserve">That makes operating income and cash flow better measures of Q2 execution.</w:t>
      </w:r>
    </w:p>
    <w:p>
      <w:pPr>
        <w:pStyle w:val="BodyText"/>
      </w:pPr>
      <w:r>
        <w:t xml:space="preserve">Key questions include:</w:t>
      </w:r>
    </w:p>
    <w:p>
      <w:pPr>
        <w:pStyle w:val="Compact"/>
        <w:numPr>
          <w:ilvl w:val="0"/>
          <w:numId w:val="1010"/>
        </w:numPr>
      </w:pPr>
      <w:r>
        <w:t xml:space="preserve">How far does the operating margin decline from Q2 2025’s 43%?</w:t>
      </w:r>
    </w:p>
    <w:p>
      <w:pPr>
        <w:pStyle w:val="Compact"/>
        <w:numPr>
          <w:ilvl w:val="0"/>
          <w:numId w:val="1010"/>
        </w:numPr>
      </w:pPr>
      <w:r>
        <w:t xml:space="preserve">Is Family of Apps profit growth keeping pace with revenue?</w:t>
      </w:r>
    </w:p>
    <w:p>
      <w:pPr>
        <w:pStyle w:val="Compact"/>
        <w:numPr>
          <w:ilvl w:val="0"/>
          <w:numId w:val="1010"/>
        </w:numPr>
      </w:pPr>
      <w:r>
        <w:t xml:space="preserve">How quickly is depreciation accelerating?</w:t>
      </w:r>
    </w:p>
    <w:p>
      <w:pPr>
        <w:pStyle w:val="Compact"/>
        <w:numPr>
          <w:ilvl w:val="0"/>
          <w:numId w:val="1010"/>
        </w:numPr>
      </w:pPr>
      <w:r>
        <w:t xml:space="preserve">Are workforce reductions materially offsetting infrastructure and AI compensation?</w:t>
      </w:r>
    </w:p>
    <w:p>
      <w:pPr>
        <w:pStyle w:val="Compact"/>
        <w:numPr>
          <w:ilvl w:val="0"/>
          <w:numId w:val="1010"/>
        </w:numPr>
      </w:pPr>
      <w:r>
        <w:t xml:space="preserve">Does operating cash flow continue to cover capex?</w:t>
      </w:r>
    </w:p>
    <w:p>
      <w:pPr>
        <w:pStyle w:val="Compact"/>
        <w:numPr>
          <w:ilvl w:val="0"/>
          <w:numId w:val="1010"/>
        </w:numPr>
      </w:pPr>
      <w:r>
        <w:t xml:space="preserve">How much capital remains for buybacks after dividends and infrastructure investment?</w:t>
      </w:r>
    </w:p>
    <w:p>
      <w:pPr>
        <w:pStyle w:val="FirstParagraph"/>
      </w:pPr>
      <w:r>
        <w:t xml:space="preserve">Meta produced $12.4 billion of free cash flow in Q1 despite almost $20 billion of capex. Maintaining robust free cash flow as quarterly investment rises would strengthen the bull case. (</w:t>
      </w:r>
      <w:hyperlink r:id="rId14">
        <w:r>
          <w:rPr>
            <w:rStyle w:val="Hyperlink"/>
          </w:rPr>
          <w:t xml:space="preserve">investor.atmeta.com</w:t>
        </w:r>
      </w:hyperlink>
      <w:r>
        <w:t xml:space="preserve">)</w:t>
      </w:r>
    </w:p>
    <w:p>
      <w:r>
        <w:pict>
          <v:rect style="width:0;height:1.5pt" o:hralign="center" o:hrstd="t" o:hr="t"/>
        </w:pict>
      </w:r>
    </w:p>
    <w:bookmarkEnd w:id="29"/>
    <w:bookmarkStart w:id="32" w:name="Xcf22720a5a121b13ddc7f8abdff4b82adbe494a"/>
    <w:p>
      <w:pPr>
        <w:pStyle w:val="Heading2"/>
      </w:pPr>
      <w:r>
        <w:t xml:space="preserve">6. Secondary issues to monitor</w:t>
      </w:r>
    </w:p>
    <w:bookmarkStart w:id="30" w:name="reality-labs-and-ai-glasses"/>
    <w:p>
      <w:pPr>
        <w:pStyle w:val="Heading3"/>
      </w:pPr>
      <w:r>
        <w:t xml:space="preserve">Reality Labs and AI glasses</w:t>
      </w:r>
    </w:p>
    <w:p>
      <w:pPr>
        <w:pStyle w:val="FirstParagraph"/>
      </w:pPr>
      <w:r>
        <w:t xml:space="preserve">Reality Labs remains a multibillion-dollar quarterly loss center. The relevant question is whether AI glasses can create enough consumer momentum to justify continued investment while Meta attempts to make the broader VR business more sustainable.</w:t>
      </w:r>
    </w:p>
    <w:bookmarkEnd w:id="30"/>
    <w:bookmarkStart w:id="31" w:name="legal-and-regulatory-exposure"/>
    <w:p>
      <w:pPr>
        <w:pStyle w:val="Heading3"/>
      </w:pPr>
      <w:r>
        <w:t xml:space="preserve">Legal and regulatory exposure</w:t>
      </w:r>
    </w:p>
    <w:p>
      <w:pPr>
        <w:pStyle w:val="FirstParagraph"/>
      </w:pPr>
      <w:r>
        <w:t xml:space="preserve">Management has already warned that youth-related litigation in the U.S. could result in a material loss, while European regulatory changes remain a potential revenue headwind. (</w:t>
      </w:r>
      <w:hyperlink r:id="rId14">
        <w:r>
          <w:rPr>
            <w:rStyle w:val="Hyperlink"/>
          </w:rPr>
          <w:t xml:space="preserve">investor.atmeta.com</w:t>
        </w:r>
      </w:hyperlink>
      <w:r>
        <w:t xml:space="preserve">)</w:t>
      </w:r>
    </w:p>
    <w:p>
      <w:pPr>
        <w:pStyle w:val="BodyText"/>
      </w:pPr>
      <w:r>
        <w:t xml:space="preserve">These issues probably will not determine Q2 revenue, but they can affect the discount investors apply to future cash flows—especially while capital requirements are rising.</w:t>
      </w:r>
    </w:p>
    <w:p>
      <w:r>
        <w:pict>
          <v:rect style="width:0;height:1.5pt" o:hralign="center" o:hrstd="t" o:hr="t"/>
        </w:pict>
      </w:r>
    </w:p>
    <w:bookmarkEnd w:id="31"/>
    <w:bookmarkEnd w:id="32"/>
    <w:bookmarkStart w:id="36" w:name="scenario-framework"/>
    <w:p>
      <w:pPr>
        <w:pStyle w:val="Heading2"/>
      </w:pPr>
      <w:r>
        <w:t xml:space="preserve">Scenario framework</w:t>
      </w:r>
    </w:p>
    <w:bookmarkStart w:id="33" w:name="bull-case"/>
    <w:p>
      <w:pPr>
        <w:pStyle w:val="Heading3"/>
      </w:pPr>
      <w:r>
        <w:t xml:space="preserve">Bull case</w:t>
      </w:r>
    </w:p>
    <w:p>
      <w:pPr>
        <w:pStyle w:val="Compact"/>
        <w:numPr>
          <w:ilvl w:val="0"/>
          <w:numId w:val="1011"/>
        </w:numPr>
      </w:pPr>
      <w:r>
        <w:t xml:space="preserve">Revenue exceeds $61 billion</w:t>
      </w:r>
    </w:p>
    <w:p>
      <w:pPr>
        <w:pStyle w:val="Compact"/>
        <w:numPr>
          <w:ilvl w:val="0"/>
          <w:numId w:val="1011"/>
        </w:numPr>
      </w:pPr>
      <w:r>
        <w:t xml:space="preserve">Q3 guidance indicates sustained 20%-plus growth</w:t>
      </w:r>
    </w:p>
    <w:p>
      <w:pPr>
        <w:pStyle w:val="Compact"/>
        <w:numPr>
          <w:ilvl w:val="0"/>
          <w:numId w:val="1011"/>
        </w:numPr>
      </w:pPr>
      <w:r>
        <w:t xml:space="preserve">Capex and expense guidance are maintained</w:t>
      </w:r>
    </w:p>
    <w:p>
      <w:pPr>
        <w:pStyle w:val="Compact"/>
        <w:numPr>
          <w:ilvl w:val="0"/>
          <w:numId w:val="1011"/>
        </w:numPr>
      </w:pPr>
      <w:r>
        <w:t xml:space="preserve">Operating margin is better than feared</w:t>
      </w:r>
    </w:p>
    <w:p>
      <w:pPr>
        <w:pStyle w:val="Compact"/>
        <w:numPr>
          <w:ilvl w:val="0"/>
          <w:numId w:val="1011"/>
        </w:numPr>
      </w:pPr>
      <w:r>
        <w:t xml:space="preserve">Management provides measurable AI-driven ad and engagement gains</w:t>
      </w:r>
    </w:p>
    <w:p>
      <w:pPr>
        <w:pStyle w:val="Compact"/>
        <w:numPr>
          <w:ilvl w:val="0"/>
          <w:numId w:val="1011"/>
        </w:numPr>
      </w:pPr>
      <w:r>
        <w:t xml:space="preserve">Free cash flow remains healthy</w:t>
      </w:r>
    </w:p>
    <w:p>
      <w:pPr>
        <w:pStyle w:val="FirstParagraph"/>
      </w:pPr>
      <w:r>
        <w:rPr>
          <w:b/>
          <w:bCs/>
        </w:rPr>
        <w:t xml:space="preserve">Likely interpretation:</w:t>
      </w:r>
      <w:r>
        <w:t xml:space="preserve"> </w:t>
      </w:r>
      <w:r>
        <w:t xml:space="preserve">The ad engine can finance Meta’s AI buildout without destroying operating leverage.</w:t>
      </w:r>
    </w:p>
    <w:bookmarkEnd w:id="33"/>
    <w:bookmarkStart w:id="34" w:name="base-case"/>
    <w:p>
      <w:pPr>
        <w:pStyle w:val="Heading3"/>
      </w:pPr>
      <w:r>
        <w:t xml:space="preserve">Base case</w:t>
      </w:r>
    </w:p>
    <w:p>
      <w:pPr>
        <w:pStyle w:val="Compact"/>
        <w:numPr>
          <w:ilvl w:val="0"/>
          <w:numId w:val="1012"/>
        </w:numPr>
      </w:pPr>
      <w:r>
        <w:t xml:space="preserve">Revenue lands around</w:t>
      </w:r>
      <w:r>
        <w:t xml:space="preserve"> </w:t>
      </w:r>
      <m:oMath>
        <m:r>
          <m:t>60</m:t>
        </m:r>
        <m:r>
          <m:t>b</m:t>
        </m:r>
        <m:r>
          <m:t>i</m:t>
        </m:r>
        <m:r>
          <m:t>l</m:t>
        </m:r>
        <m:r>
          <m:t>l</m:t>
        </m:r>
        <m:r>
          <m:t>i</m:t>
        </m:r>
        <m:r>
          <m:t>o</m:t>
        </m:r>
        <m:r>
          <m:t>n</m:t>
        </m:r>
        <m:r>
          <m:rPr>
            <m:sty m:val="p"/>
          </m:rPr>
          <m:t>–</m:t>
        </m:r>
      </m:oMath>
      <w:r>
        <w:t xml:space="preserve">61 billion</w:t>
      </w:r>
    </w:p>
    <w:p>
      <w:pPr>
        <w:pStyle w:val="Compact"/>
        <w:numPr>
          <w:ilvl w:val="0"/>
          <w:numId w:val="1012"/>
        </w:numPr>
      </w:pPr>
      <w:r>
        <w:t xml:space="preserve">Q3 outlook is broadly in line</w:t>
      </w:r>
    </w:p>
    <w:p>
      <w:pPr>
        <w:pStyle w:val="Compact"/>
        <w:numPr>
          <w:ilvl w:val="0"/>
          <w:numId w:val="1012"/>
        </w:numPr>
      </w:pPr>
      <w:r>
        <w:t xml:space="preserve">Capex remains</w:t>
      </w:r>
      <w:r>
        <w:t xml:space="preserve"> </w:t>
      </w:r>
      <m:oMath>
        <m:r>
          <m:t>125</m:t>
        </m:r>
        <m:r>
          <m:t>b</m:t>
        </m:r>
        <m:r>
          <m:t>i</m:t>
        </m:r>
        <m:r>
          <m:t>l</m:t>
        </m:r>
        <m:r>
          <m:t>l</m:t>
        </m:r>
        <m:r>
          <m:t>i</m:t>
        </m:r>
        <m:r>
          <m:t>o</m:t>
        </m:r>
        <m:r>
          <m:t>n</m:t>
        </m:r>
        <m:r>
          <m:rPr>
            <m:sty m:val="p"/>
          </m:rPr>
          <m:t>–</m:t>
        </m:r>
      </m:oMath>
      <w:r>
        <w:t xml:space="preserve">145 billion</w:t>
      </w:r>
    </w:p>
    <w:p>
      <w:pPr>
        <w:pStyle w:val="Compact"/>
        <w:numPr>
          <w:ilvl w:val="0"/>
          <w:numId w:val="1012"/>
        </w:numPr>
      </w:pPr>
      <w:r>
        <w:t xml:space="preserve">Margins decline as expected</w:t>
      </w:r>
    </w:p>
    <w:p>
      <w:pPr>
        <w:pStyle w:val="Compact"/>
        <w:numPr>
          <w:ilvl w:val="0"/>
          <w:numId w:val="1012"/>
        </w:numPr>
      </w:pPr>
      <w:r>
        <w:t xml:space="preserve">AI commentary is encouraging but not financially transformative</w:t>
      </w:r>
    </w:p>
    <w:p>
      <w:pPr>
        <w:pStyle w:val="FirstParagraph"/>
      </w:pPr>
      <w:r>
        <w:rPr>
          <w:b/>
          <w:bCs/>
        </w:rPr>
        <w:t xml:space="preserve">Likely interpretation:</w:t>
      </w:r>
      <w:r>
        <w:t xml:space="preserve"> </w:t>
      </w:r>
      <w:r>
        <w:t xml:space="preserve">Fundamentally sound, but the stock reaction will depend on tone and forward spending commentary.</w:t>
      </w:r>
    </w:p>
    <w:bookmarkEnd w:id="34"/>
    <w:bookmarkStart w:id="35" w:name="bear-case"/>
    <w:p>
      <w:pPr>
        <w:pStyle w:val="Heading3"/>
      </w:pPr>
      <w:r>
        <w:t xml:space="preserve">Bear case</w:t>
      </w:r>
    </w:p>
    <w:p>
      <w:pPr>
        <w:pStyle w:val="Compact"/>
        <w:numPr>
          <w:ilvl w:val="0"/>
          <w:numId w:val="1013"/>
        </w:numPr>
      </w:pPr>
      <w:r>
        <w:t xml:space="preserve">Revenue is below roughly $60 billion</w:t>
      </w:r>
    </w:p>
    <w:p>
      <w:pPr>
        <w:pStyle w:val="Compact"/>
        <w:numPr>
          <w:ilvl w:val="0"/>
          <w:numId w:val="1013"/>
        </w:numPr>
      </w:pPr>
      <w:r>
        <w:t xml:space="preserve">Q3 outlook signals sharper deceleration</w:t>
      </w:r>
    </w:p>
    <w:p>
      <w:pPr>
        <w:pStyle w:val="Compact"/>
        <w:numPr>
          <w:ilvl w:val="0"/>
          <w:numId w:val="1013"/>
        </w:numPr>
      </w:pPr>
      <w:r>
        <w:t xml:space="preserve">Capex or expense guidance increases</w:t>
      </w:r>
    </w:p>
    <w:p>
      <w:pPr>
        <w:pStyle w:val="Compact"/>
        <w:numPr>
          <w:ilvl w:val="0"/>
          <w:numId w:val="1013"/>
        </w:numPr>
      </w:pPr>
      <w:r>
        <w:t xml:space="preserve">Free-cash-flow expectations fall</w:t>
      </w:r>
    </w:p>
    <w:p>
      <w:pPr>
        <w:pStyle w:val="Compact"/>
        <w:numPr>
          <w:ilvl w:val="0"/>
          <w:numId w:val="1013"/>
        </w:numPr>
      </w:pPr>
      <w:r>
        <w:t xml:space="preserve">Management offers few concrete returns from the infrastructure buildout</w:t>
      </w:r>
    </w:p>
    <w:p>
      <w:pPr>
        <w:pStyle w:val="Compact"/>
        <w:numPr>
          <w:ilvl w:val="0"/>
          <w:numId w:val="1013"/>
        </w:numPr>
      </w:pPr>
      <w:r>
        <w:t xml:space="preserve">Legal or regulatory risk escalates</w:t>
      </w:r>
    </w:p>
    <w:p>
      <w:pPr>
        <w:pStyle w:val="FirstParagraph"/>
      </w:pPr>
      <w:r>
        <w:rPr>
          <w:b/>
          <w:bCs/>
        </w:rPr>
        <w:t xml:space="preserve">Likely interpretation:</w:t>
      </w:r>
      <w:r>
        <w:t xml:space="preserve"> </w:t>
      </w:r>
      <w:r>
        <w:t xml:space="preserve">Meta is entering a capital-intensive phase before establishing sufficient new AI revenue streams.</w:t>
      </w:r>
    </w:p>
    <w:p>
      <w:r>
        <w:pict>
          <v:rect style="width:0;height:1.5pt" o:hralign="center" o:hrstd="t" o:hr="t"/>
        </w:pict>
      </w:r>
    </w:p>
    <w:bookmarkEnd w:id="35"/>
    <w:bookmarkEnd w:id="36"/>
    <w:bookmarkStart w:id="37" w:name="bottom-line"/>
    <w:p>
      <w:pPr>
        <w:pStyle w:val="Heading2"/>
      </w:pPr>
      <w:r>
        <w:t xml:space="preserve">Bottom line</w:t>
      </w:r>
    </w:p>
    <w:p>
      <w:pPr>
        <w:pStyle w:val="FirstParagraph"/>
      </w:pPr>
      <w:r>
        <w:t xml:space="preserve">The core business probably remains strong enough to produce another respectable quarter. But</w:t>
      </w:r>
      <w:r>
        <w:t xml:space="preserve"> </w:t>
      </w:r>
      <w:r>
        <w:rPr>
          <w:b/>
          <w:bCs/>
        </w:rPr>
        <w:t xml:space="preserve">“respectable” may not be enough</w:t>
      </w:r>
      <w:r>
        <w:t xml:space="preserve">.</w:t>
      </w:r>
    </w:p>
    <w:p>
      <w:pPr>
        <w:pStyle w:val="BodyText"/>
      </w:pPr>
      <w:r>
        <w:t xml:space="preserve">The cleanest positive outcome would be</w:t>
      </w:r>
      <w:r>
        <w:t xml:space="preserve"> </w:t>
      </w:r>
      <w:r>
        <w:rPr>
          <w:b/>
          <w:bCs/>
        </w:rPr>
        <w:t xml:space="preserve">revenue above the high end of guidance, a strong Q3 outlook and no further capex increase</w:t>
      </w:r>
      <w:r>
        <w:t xml:space="preserve">. Conversely, another large spending increase could overshadow an otherwise excellent ad quarter.</w:t>
      </w:r>
    </w:p>
    <w:p>
      <w:pPr>
        <w:pStyle w:val="BodyText"/>
      </w:pPr>
      <w:r>
        <w:t xml:space="preserve">For investors, the hierarchy should be:</w:t>
      </w:r>
    </w:p>
    <w:p>
      <w:pPr>
        <w:pStyle w:val="Compact"/>
        <w:numPr>
          <w:ilvl w:val="0"/>
          <w:numId w:val="1014"/>
        </w:numPr>
      </w:pPr>
      <w:r>
        <w:rPr>
          <w:b/>
          <w:bCs/>
        </w:rPr>
        <w:t xml:space="preserve">Q3 revenue guidance</w:t>
      </w:r>
    </w:p>
    <w:p>
      <w:pPr>
        <w:pStyle w:val="Compact"/>
        <w:numPr>
          <w:ilvl w:val="0"/>
          <w:numId w:val="1014"/>
        </w:numPr>
      </w:pPr>
      <w:r>
        <w:rPr>
          <w:b/>
          <w:bCs/>
        </w:rPr>
        <w:t xml:space="preserve">2026 and preliminary 2027 capex commentary</w:t>
      </w:r>
    </w:p>
    <w:p>
      <w:pPr>
        <w:pStyle w:val="Compact"/>
        <w:numPr>
          <w:ilvl w:val="0"/>
          <w:numId w:val="1014"/>
        </w:numPr>
      </w:pPr>
      <w:r>
        <w:rPr>
          <w:b/>
          <w:bCs/>
        </w:rPr>
        <w:t xml:space="preserve">Operating margin and expense outlook</w:t>
      </w:r>
    </w:p>
    <w:p>
      <w:pPr>
        <w:pStyle w:val="Compact"/>
        <w:numPr>
          <w:ilvl w:val="0"/>
          <w:numId w:val="1014"/>
        </w:numPr>
      </w:pPr>
      <w:r>
        <w:rPr>
          <w:b/>
          <w:bCs/>
        </w:rPr>
        <w:t xml:space="preserve">Advertising growth and AI-driven performance</w:t>
      </w:r>
    </w:p>
    <w:p>
      <w:pPr>
        <w:pStyle w:val="Compact"/>
        <w:numPr>
          <w:ilvl w:val="0"/>
          <w:numId w:val="1014"/>
        </w:numPr>
      </w:pPr>
      <w:r>
        <w:rPr>
          <w:b/>
          <w:bCs/>
        </w:rPr>
        <w:t xml:space="preserve">Free cash flow</w:t>
      </w:r>
    </w:p>
    <w:p>
      <w:pPr>
        <w:pStyle w:val="Compact"/>
        <w:numPr>
          <w:ilvl w:val="0"/>
          <w:numId w:val="1014"/>
        </w:numPr>
      </w:pPr>
      <w:r>
        <w:rPr>
          <w:b/>
          <w:bCs/>
        </w:rPr>
        <w:t xml:space="preserve">Evidence of monetization in WhatsApp, Threads, Meta AI and external compute</w:t>
      </w:r>
    </w:p>
    <w:p>
      <w:pPr>
        <w:pStyle w:val="FirstParagraph"/>
      </w:pPr>
      <w:r>
        <w:t xml:space="preserve">The report is fundamentally a test of whether Meta’s highly profitable advertising franchise can continue compounding fast enough to finance one of the largest infrastructure expansions in corporate history.</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nvestor.atmeta.com/investor-events/event-details/default.aspx?utm_source=openai" TargetMode="External" /><Relationship Type="http://schemas.openxmlformats.org/officeDocument/2006/relationships/hyperlink" Id="rId12" Target="https://investor.atmeta.com/investor-news/press-release-details/2025/Meta-Reports-Second-Quarter-2025-Results/default.aspx?utm_source=openai" TargetMode="External" /><Relationship Type="http://schemas.openxmlformats.org/officeDocument/2006/relationships/hyperlink" Id="rId14" Target="https://investor.atmeta.com/investor-news/press-release-details/2026/Meta-Reports-First-Quarter-2026-Results/default.aspx?utm_source=openai" TargetMode="External" /><Relationship Type="http://schemas.openxmlformats.org/officeDocument/2006/relationships/hyperlink" Id="rId9" Target="https://investor.atmeta.com/investor-news/press-release-details/2026/Meta-to-Announce-Second-Quarter-2026-Results/default.aspx?utm_source=openai" TargetMode="External" /><Relationship Type="http://schemas.openxmlformats.org/officeDocument/2006/relationships/hyperlink" Id="rId26" Target="https://news.bloomberglaw.com/artificial-intelligence/meta-in-talks-to-sell-computing-power-to-anthropic-1?utm_source=openai" TargetMode="External" /><Relationship Type="http://schemas.openxmlformats.org/officeDocument/2006/relationships/hyperlink" Id="rId10" Target="https://www.ig.com/en/news-and-trade-ideas/meta-q2-2026-earnings-preview-260727" TargetMode="External" /><Relationship Type="http://schemas.openxmlformats.org/officeDocument/2006/relationships/hyperlink" Id="rId21" Target="https://www.investing.com/news/stock-market-news/meta-blackrock-partner-on-14-billion-el-paso-data-center-4815906?utm_source=openai" TargetMode="External" /><Relationship Type="http://schemas.openxmlformats.org/officeDocument/2006/relationships/hyperlink" Id="rId18" Target="https://www.sec.gov/Archives/edgar/data/1326801/000162828026028526/meta-20260331.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nvestor.atmeta.com/investor-events/event-details/default.aspx?utm_source=openai" TargetMode="External" /><Relationship Type="http://schemas.openxmlformats.org/officeDocument/2006/relationships/hyperlink" Id="rId12" Target="https://investor.atmeta.com/investor-news/press-release-details/2025/Meta-Reports-Second-Quarter-2025-Results/default.aspx?utm_source=openai" TargetMode="External" /><Relationship Type="http://schemas.openxmlformats.org/officeDocument/2006/relationships/hyperlink" Id="rId14" Target="https://investor.atmeta.com/investor-news/press-release-details/2026/Meta-Reports-First-Quarter-2026-Results/default.aspx?utm_source=openai" TargetMode="External" /><Relationship Type="http://schemas.openxmlformats.org/officeDocument/2006/relationships/hyperlink" Id="rId9" Target="https://investor.atmeta.com/investor-news/press-release-details/2026/Meta-to-Announce-Second-Quarter-2026-Results/default.aspx?utm_source=openai" TargetMode="External" /><Relationship Type="http://schemas.openxmlformats.org/officeDocument/2006/relationships/hyperlink" Id="rId26" Target="https://news.bloomberglaw.com/artificial-intelligence/meta-in-talks-to-sell-computing-power-to-anthropic-1?utm_source=openai" TargetMode="External" /><Relationship Type="http://schemas.openxmlformats.org/officeDocument/2006/relationships/hyperlink" Id="rId10" Target="https://www.ig.com/en/news-and-trade-ideas/meta-q2-2026-earnings-preview-260727" TargetMode="External" /><Relationship Type="http://schemas.openxmlformats.org/officeDocument/2006/relationships/hyperlink" Id="rId21" Target="https://www.investing.com/news/stock-market-news/meta-blackrock-partner-on-14-billion-el-paso-data-center-4815906?utm_source=openai" TargetMode="External" /><Relationship Type="http://schemas.openxmlformats.org/officeDocument/2006/relationships/hyperlink" Id="rId18" Target="https://www.sec.gov/Archives/edgar/data/1326801/000162828026028526/meta-20260331.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2026-07-29T01:17:35Z</dcterms:created>
  <dcterms:modified xsi:type="dcterms:W3CDTF">2026-07-29T01:17:35Z</dcterms:modified>
</cp:coreProperties>
</file>

<file path=docProps/custom.xml><?xml version="1.0" encoding="utf-8"?>
<Properties xmlns="http://schemas.openxmlformats.org/officeDocument/2006/custom-properties" xmlns:vt="http://schemas.openxmlformats.org/officeDocument/2006/docPropsVTypes"/>
</file>