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meta-q2-2026-earnings-preview"/>
    <w:p>
      <w:pPr>
        <w:pStyle w:val="Heading1"/>
      </w:pPr>
      <w:r>
        <w:t xml:space="preserve">META Q2 2026 Earnings Preview</w:t>
      </w:r>
    </w:p>
    <w:p>
      <w:pPr>
        <w:pStyle w:val="BlockText"/>
      </w:pPr>
      <w:r>
        <w:rPr>
          <w:b/>
          <w:bCs/>
        </w:rPr>
        <w:t xml:space="preserve">Timing note:</w:t>
      </w:r>
      <w:r>
        <w:t xml:space="preserve"> </w:t>
      </w:r>
      <w:r>
        <w:t xml:space="preserve">Meta reports</w:t>
      </w:r>
      <w:r>
        <w:t xml:space="preserve"> </w:t>
      </w:r>
      <w:r>
        <w:rPr>
          <w:b/>
          <w:bCs/>
        </w:rPr>
        <w:t xml:space="preserve">after the close today, Wednesday, July 29, 2026</w:t>
      </w:r>
      <w:r>
        <w:t xml:space="preserve">, not tomorrow. The earnings call is scheduled for</w:t>
      </w:r>
      <w:r>
        <w:t xml:space="preserve"> </w:t>
      </w:r>
      <w:r>
        <w:rPr>
          <w:b/>
          <w:bCs/>
        </w:rPr>
        <w:t xml:space="preserve">4:30 p.m. ET</w:t>
      </w:r>
      <w:r>
        <w:t xml:space="preserve">. (</w:t>
      </w:r>
      <w:hyperlink r:id="rId9">
        <w:r>
          <w:rPr>
            <w:rStyle w:val="Hyperlink"/>
          </w:rPr>
          <w:t xml:space="preserve">investor.atmeta.com</w:t>
        </w:r>
      </w:hyperlink>
      <w:r>
        <w:t xml:space="preserve">)</w:t>
      </w:r>
    </w:p>
    <w:bookmarkStart w:id="10" w:name="bottom-line"/>
    <w:p>
      <w:pPr>
        <w:pStyle w:val="Heading2"/>
      </w:pPr>
      <w:r>
        <w:t xml:space="preserve">Bottom line</w:t>
      </w:r>
    </w:p>
    <w:p>
      <w:pPr>
        <w:pStyle w:val="FirstParagraph"/>
      </w:pPr>
      <w:r>
        <w:t xml:space="preserve">This is unlikely to be a conventional “beat or miss” quarter. The core advertising business appears set up for another strong result, but META’s stock reaction will likely be determined more by the</w:t>
      </w:r>
      <w:r>
        <w:t xml:space="preserve"> </w:t>
      </w:r>
      <w:r>
        <w:rPr>
          <w:b/>
          <w:bCs/>
        </w:rPr>
        <w:t xml:space="preserve">trajectory of AI infrastructure spending, free-cash-flow conversion, and 3Q revenue guidance</w:t>
      </w:r>
      <w:r>
        <w:t xml:space="preserve"> </w:t>
      </w:r>
      <w:r>
        <w:t xml:space="preserve">than by the headline EPS print.</w:t>
      </w:r>
    </w:p>
    <w:p>
      <w:pPr>
        <w:pStyle w:val="BodyText"/>
      </w:pPr>
      <w:r>
        <w:t xml:space="preserve">The central debate is straightforward:</w:t>
      </w:r>
    </w:p>
    <w:p>
      <w:pPr>
        <w:pStyle w:val="Compact"/>
        <w:numPr>
          <w:ilvl w:val="0"/>
          <w:numId w:val="1001"/>
        </w:numPr>
      </w:pPr>
      <w:r>
        <w:rPr>
          <w:b/>
          <w:bCs/>
        </w:rPr>
        <w:t xml:space="preserve">Bull case:</w:t>
      </w:r>
      <w:r>
        <w:t xml:space="preserve"> </w:t>
      </w:r>
      <w:r>
        <w:t xml:space="preserve">AI is demonstrably improving engagement, ad targeting, conversion, and monetization, allowing Meta to sustain unusually high ad growth while building the infrastructure for future AI products.</w:t>
      </w:r>
    </w:p>
    <w:p>
      <w:pPr>
        <w:pStyle w:val="Compact"/>
        <w:numPr>
          <w:ilvl w:val="0"/>
          <w:numId w:val="1001"/>
        </w:numPr>
      </w:pPr>
      <w:r>
        <w:rPr>
          <w:b/>
          <w:bCs/>
        </w:rPr>
        <w:t xml:space="preserve">Bear case:</w:t>
      </w:r>
      <w:r>
        <w:t xml:space="preserve"> </w:t>
      </w:r>
      <w:r>
        <w:t xml:space="preserve">Meta’s investment program is becoming too large and too capital-intensive relative to near-term monetization, creating a risk that higher CapEx, depreciation, financing needs, and weaker free cash flow overwhelm a solid advertising beat.</w:t>
      </w:r>
    </w:p>
    <w:bookmarkEnd w:id="10"/>
    <w:bookmarkStart w:id="12" w:name="X245f360c436c187f207c734163adc4889679e67"/>
    <w:p>
      <w:pPr>
        <w:pStyle w:val="Heading2"/>
      </w:pPr>
      <w:r>
        <w:t xml:space="preserve">The setup: expectations are already near the top of Meta’s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Q2 2026 metric</w:t>
            </w:r>
          </w:p>
        </w:tc>
        <w:tc>
          <w:tcPr/>
          <w:p>
            <w:pPr>
              <w:pStyle w:val="Compact"/>
              <w:jc w:val="right"/>
            </w:pPr>
            <w:r>
              <w:t xml:space="preserve">Reference point</w:t>
            </w:r>
          </w:p>
        </w:tc>
      </w:tr>
      <w:tr>
        <w:tc>
          <w:tcPr/>
          <w:p>
            <w:pPr>
              <w:pStyle w:val="Compact"/>
            </w:pPr>
            <w:r>
              <w:t xml:space="preserve">Meta revenue guidance</w:t>
            </w:r>
          </w:p>
        </w:tc>
        <w:tc>
          <w:tcPr/>
          <w:p>
            <w:pPr>
              <w:pStyle w:val="Compact"/>
              <w:jc w:val="right"/>
            </w:pPr>
            <m:oMath>
              <m:r>
                <m:t>58.0</m:t>
              </m:r>
              <m:r>
                <m:t>B</m:t>
              </m:r>
              <m:r>
                <m:rPr>
                  <m:sty m:val="p"/>
                </m:rPr>
                <m:t>–</m:t>
              </m:r>
            </m:oMath>
            <w:r>
              <w:rPr>
                <w:b/>
                <w:bCs/>
              </w:rPr>
              <w:t xml:space="preserve">61.0B</w:t>
            </w:r>
          </w:p>
        </w:tc>
      </w:tr>
      <w:tr>
        <w:tc>
          <w:tcPr/>
          <w:p>
            <w:pPr>
              <w:pStyle w:val="Compact"/>
            </w:pPr>
            <w:r>
              <w:t xml:space="preserve">Guidance midpoint</w:t>
            </w:r>
          </w:p>
        </w:tc>
        <w:tc>
          <w:tcPr/>
          <w:p>
            <w:pPr>
              <w:pStyle w:val="Compact"/>
              <w:jc w:val="right"/>
            </w:pPr>
            <w:r>
              <w:rPr>
                <w:b/>
                <w:bCs/>
              </w:rPr>
              <w:t xml:space="preserve">$59.5B</w:t>
            </w:r>
          </w:p>
        </w:tc>
      </w:tr>
      <w:tr>
        <w:tc>
          <w:tcPr/>
          <w:p>
            <w:pPr>
              <w:pStyle w:val="Compact"/>
            </w:pPr>
            <w:r>
              <w:t xml:space="preserve">Street revenue expectation</w:t>
            </w:r>
          </w:p>
        </w:tc>
        <w:tc>
          <w:tcPr/>
          <w:p>
            <w:pPr>
              <w:pStyle w:val="Compact"/>
              <w:jc w:val="right"/>
            </w:pPr>
            <w:r>
              <w:rPr>
                <w:b/>
                <w:bCs/>
              </w:rPr>
              <w:t xml:space="preserve">~$60.2B</w:t>
            </w:r>
          </w:p>
        </w:tc>
      </w:tr>
      <w:tr>
        <w:tc>
          <w:tcPr/>
          <w:p>
            <w:pPr>
              <w:pStyle w:val="Compact"/>
            </w:pPr>
            <w:r>
              <w:t xml:space="preserve">Street EPS expectation</w:t>
            </w:r>
          </w:p>
        </w:tc>
        <w:tc>
          <w:tcPr/>
          <w:p>
            <w:pPr>
              <w:pStyle w:val="Compact"/>
              <w:jc w:val="right"/>
            </w:pPr>
            <w:r>
              <w:rPr>
                <w:b/>
                <w:bCs/>
              </w:rPr>
              <w:t xml:space="preserve">~</w:t>
            </w:r>
            <m:oMath>
              <m:r>
                <m:t>7.1</m:t>
              </m:r>
              <m:r>
                <m:rPr>
                  <m:sty m:val="p"/>
                </m:rPr>
                <m:t>–</m:t>
              </m:r>
            </m:oMath>
            <w:r>
              <w:rPr>
                <w:b/>
                <w:bCs/>
              </w:rPr>
              <w:t xml:space="preserve">7.2</w:t>
            </w:r>
          </w:p>
        </w:tc>
      </w:tr>
      <w:tr>
        <w:tc>
          <w:tcPr/>
          <w:p>
            <w:pPr>
              <w:pStyle w:val="Compact"/>
            </w:pPr>
            <w:r>
              <w:t xml:space="preserve">Q2 2025 revenue</w:t>
            </w:r>
          </w:p>
        </w:tc>
        <w:tc>
          <w:tcPr/>
          <w:p>
            <w:pPr>
              <w:pStyle w:val="Compact"/>
              <w:jc w:val="right"/>
            </w:pPr>
            <w:r>
              <w:rPr>
                <w:b/>
                <w:bCs/>
              </w:rPr>
              <w:t xml:space="preserve">$47.5B</w:t>
            </w:r>
          </w:p>
        </w:tc>
      </w:tr>
      <w:tr>
        <w:tc>
          <w:tcPr/>
          <w:p>
            <w:pPr>
              <w:pStyle w:val="Compact"/>
            </w:pPr>
            <w:r>
              <w:t xml:space="preserve">Q2 2025 diluted EPS</w:t>
            </w:r>
          </w:p>
        </w:tc>
        <w:tc>
          <w:tcPr/>
          <w:p>
            <w:pPr>
              <w:pStyle w:val="Compact"/>
              <w:jc w:val="right"/>
            </w:pPr>
            <w:r>
              <w:rPr>
                <w:b/>
                <w:bCs/>
              </w:rPr>
              <w:t xml:space="preserve">$7.14</w:t>
            </w:r>
          </w:p>
        </w:tc>
      </w:tr>
    </w:tbl>
    <w:p>
      <w:pPr>
        <w:pStyle w:val="BodyText"/>
      </w:pPr>
      <w:r>
        <w:t xml:space="preserve">Meta’s April guide implies roughly</w:t>
      </w:r>
      <w:r>
        <w:t xml:space="preserve"> </w:t>
      </w:r>
      <w:r>
        <w:rPr>
          <w:b/>
          <w:bCs/>
        </w:rPr>
        <w:t xml:space="preserve">22%–28% year-over-year revenue growth</w:t>
      </w:r>
      <w:r>
        <w:t xml:space="preserve">, with Wall Street looking for approximately</w:t>
      </w:r>
      <w:r>
        <w:t xml:space="preserve"> </w:t>
      </w:r>
      <w:r>
        <w:rPr>
          <w:b/>
          <w:bCs/>
        </w:rPr>
        <w:t xml:space="preserve">$60.2 billion</w:t>
      </w:r>
      <w:r>
        <w:t xml:space="preserve">, or about</w:t>
      </w:r>
      <w:r>
        <w:t xml:space="preserve"> </w:t>
      </w:r>
      <w:r>
        <w:rPr>
          <w:b/>
          <w:bCs/>
        </w:rPr>
        <w:t xml:space="preserve">27% growth</w:t>
      </w:r>
      <w:r>
        <w:t xml:space="preserve">—just below the high end of management’s range. That creates limited room for merely in-line guidance: a result near the middle of the range could be technically sound but still disappoint a market positioned for strength. (</w:t>
      </w:r>
      <w:hyperlink r:id="rId11">
        <w:r>
          <w:rPr>
            <w:rStyle w:val="Hyperlink"/>
          </w:rPr>
          <w:t xml:space="preserve">investor.atmeta.com</w:t>
        </w:r>
      </w:hyperlink>
      <w:r>
        <w:t xml:space="preserve">)</w:t>
      </w:r>
    </w:p>
    <w:p>
      <w:pPr>
        <w:pStyle w:val="BodyText"/>
      </w:pPr>
      <w:r>
        <w:t xml:space="preserve">The EPS comparison deserves less emphasis than usual. Q1 GAAP EPS of $10.44 included an $8.03 billion tax benefit; Meta said EPS would have been $3.13 lower excluding that item. The clean read-through for Q2 is therefore revenue, operating income/margin, cash flow, and the forward investment outlook—not comparison with Q1’s reported earnings per share. (</w:t>
      </w:r>
      <w:hyperlink r:id="rId11">
        <w:r>
          <w:rPr>
            <w:rStyle w:val="Hyperlink"/>
          </w:rPr>
          <w:t xml:space="preserve">investor.atmeta.com</w:t>
        </w:r>
      </w:hyperlink>
      <w:r>
        <w:t xml:space="preserve">)</w:t>
      </w:r>
    </w:p>
    <w:bookmarkEnd w:id="12"/>
    <w:bookmarkStart w:id="13" w:name="why-the-core-business-should-be-strong"/>
    <w:p>
      <w:pPr>
        <w:pStyle w:val="Heading2"/>
      </w:pPr>
      <w:r>
        <w:t xml:space="preserve">Why the core business should be strong</w:t>
      </w:r>
    </w:p>
    <w:p>
      <w:pPr>
        <w:pStyle w:val="FirstParagraph"/>
      </w:pPr>
      <w:r>
        <w:t xml:space="preserve">Meta entered Q2 with exceptional advertising momentum. In Q1, revenue grew</w:t>
      </w:r>
      <w:r>
        <w:t xml:space="preserve"> </w:t>
      </w:r>
      <w:r>
        <w:rPr>
          <w:b/>
          <w:bCs/>
        </w:rPr>
        <w:t xml:space="preserve">33% reported</w:t>
      </w:r>
      <w:r>
        <w:t xml:space="preserve"> </w:t>
      </w:r>
      <w:r>
        <w:t xml:space="preserve">and</w:t>
      </w:r>
      <w:r>
        <w:t xml:space="preserve"> </w:t>
      </w:r>
      <w:r>
        <w:rPr>
          <w:b/>
          <w:bCs/>
        </w:rPr>
        <w:t xml:space="preserve">29% constant currency</w:t>
      </w:r>
      <w:r>
        <w:t xml:space="preserve">, driven by a</w:t>
      </w:r>
      <w:r>
        <w:t xml:space="preserve"> </w:t>
      </w:r>
      <w:r>
        <w:rPr>
          <w:b/>
          <w:bCs/>
        </w:rPr>
        <w:t xml:space="preserve">19% increase in ad impressions</w:t>
      </w:r>
      <w:r>
        <w:t xml:space="preserve"> </w:t>
      </w:r>
      <w:r>
        <w:t xml:space="preserve">and a</w:t>
      </w:r>
      <w:r>
        <w:t xml:space="preserve"> </w:t>
      </w:r>
      <w:r>
        <w:rPr>
          <w:b/>
          <w:bCs/>
        </w:rPr>
        <w:t xml:space="preserve">12% increase in average price per ad</w:t>
      </w:r>
      <w:r>
        <w:t xml:space="preserve">. Management’s Q2 outlook also incorporated an estimated</w:t>
      </w:r>
      <w:r>
        <w:t xml:space="preserve"> </w:t>
      </w:r>
      <w:r>
        <w:rPr>
          <w:b/>
          <w:bCs/>
        </w:rPr>
        <w:t xml:space="preserve">2% foreign-exchange tailwind</w:t>
      </w:r>
      <w:r>
        <w:t xml:space="preserve"> </w:t>
      </w:r>
      <w:r>
        <w:t xml:space="preserve">to year-over-year growth. (</w:t>
      </w:r>
      <w:hyperlink r:id="rId11">
        <w:r>
          <w:rPr>
            <w:rStyle w:val="Hyperlink"/>
          </w:rPr>
          <w:t xml:space="preserve">investor.atmeta.com</w:t>
        </w:r>
      </w:hyperlink>
      <w:r>
        <w:t xml:space="preserve">)</w:t>
      </w:r>
    </w:p>
    <w:p>
      <w:pPr>
        <w:pStyle w:val="BodyText"/>
      </w:pPr>
      <w:r>
        <w:t xml:space="preserve">The items to watch underneath the headline are:</w:t>
      </w:r>
    </w:p>
    <w:p>
      <w:pPr>
        <w:numPr>
          <w:ilvl w:val="0"/>
          <w:numId w:val="1002"/>
        </w:numPr>
      </w:pPr>
      <w:r>
        <w:rPr>
          <w:b/>
          <w:bCs/>
        </w:rPr>
        <w:t xml:space="preserve">Ad impressions versus pricing.</w:t>
      </w:r>
      <w:r>
        <w:br/>
      </w:r>
      <w:r>
        <w:t xml:space="preserve">Investors want both—not just price. Continued engagement-driven impression growth demonstrates that AI recommendation improvements are creating inventory organically; sustained price growth signals that those impressions are becoming more valuable to advertisers.</w:t>
      </w:r>
    </w:p>
    <w:p>
      <w:pPr>
        <w:numPr>
          <w:ilvl w:val="0"/>
          <w:numId w:val="1002"/>
        </w:numPr>
      </w:pPr>
      <w:r>
        <w:rPr>
          <w:b/>
          <w:bCs/>
        </w:rPr>
        <w:t xml:space="preserve">AI’s measurable contribution to ads.</w:t>
      </w:r>
      <w:r>
        <w:br/>
      </w:r>
      <w:r>
        <w:t xml:space="preserve">The key question is whether Meta can quantify improvement in conversion rates, advertiser ROI, creative adoption, or engagement. Evidence that larger models are improving ranking and ad delivery helps validate the investment case because it connects AI spend directly to the core profit engine.</w:t>
      </w:r>
    </w:p>
    <w:p>
      <w:pPr>
        <w:numPr>
          <w:ilvl w:val="0"/>
          <w:numId w:val="1002"/>
        </w:numPr>
      </w:pPr>
      <w:r>
        <w:rPr>
          <w:b/>
          <w:bCs/>
        </w:rPr>
        <w:t xml:space="preserve">Reels, video, and recommendation engagement.</w:t>
      </w:r>
      <w:r>
        <w:br/>
      </w:r>
      <w:r>
        <w:t xml:space="preserve">AI-led discovery has become central to Meta’s ability to grow time spent and monetize it. Any slowdown here would matter disproportionately, as it would weaken the argument that Meta’s compute buildout is already producing ad-business returns.</w:t>
      </w:r>
    </w:p>
    <w:p>
      <w:pPr>
        <w:numPr>
          <w:ilvl w:val="0"/>
          <w:numId w:val="1002"/>
        </w:numPr>
      </w:pPr>
      <w:r>
        <w:rPr>
          <w:b/>
          <w:bCs/>
        </w:rPr>
        <w:t xml:space="preserve">WhatsApp, Threads, and “other” Family of Apps revenue.</w:t>
      </w:r>
      <w:r>
        <w:br/>
      </w:r>
      <w:r>
        <w:t xml:space="preserve">These remain smaller than advertising, but they represent the clearest incremental monetization vectors. In Q1, Family of Apps “other revenue” rose 74%, largely on WhatsApp paid messaging and subscriptions. (</w:t>
      </w:r>
      <w:hyperlink r:id="rId11">
        <w:r>
          <w:rPr>
            <w:rStyle w:val="Hyperlink"/>
          </w:rPr>
          <w:t xml:space="preserve">investor.atmeta.com</w:t>
        </w:r>
      </w:hyperlink>
      <w:r>
        <w:t xml:space="preserve">)</w:t>
      </w:r>
    </w:p>
    <w:bookmarkEnd w:id="13"/>
    <w:bookmarkStart w:id="14" w:name="Xcf5f0ce68f5f66c5fb2b0af04aeff532522436c"/>
    <w:p>
      <w:pPr>
        <w:pStyle w:val="Heading2"/>
      </w:pPr>
      <w:r>
        <w:t xml:space="preserve">The real event: CapEx, cash flow, and 2027 implications</w:t>
      </w:r>
    </w:p>
    <w:p>
      <w:pPr>
        <w:pStyle w:val="FirstParagraph"/>
      </w:pPr>
      <w:r>
        <w:t xml:space="preserve">Meta’s Q1 guidance called for</w:t>
      </w:r>
      <w:r>
        <w:t xml:space="preserve"> </w:t>
      </w:r>
      <m:oMath>
        <m:r>
          <m:t>125</m:t>
        </m:r>
        <m:r>
          <m:t>b</m:t>
        </m:r>
        <m:r>
          <m:t>i</m:t>
        </m:r>
        <m:r>
          <m:t>l</m:t>
        </m:r>
        <m:r>
          <m:t>l</m:t>
        </m:r>
        <m:r>
          <m:t>i</m:t>
        </m:r>
        <m:r>
          <m:t>o</m:t>
        </m:r>
        <m:r>
          <m:t>n</m:t>
        </m:r>
        <m:r>
          <m:rPr>
            <m:sty m:val="p"/>
          </m:rPr>
          <m:t>–</m:t>
        </m:r>
      </m:oMath>
      <w:r>
        <w:rPr>
          <w:b/>
          <w:bCs/>
        </w:rPr>
        <w:t xml:space="preserve">145 billion</w:t>
      </w:r>
      <w:r>
        <w:t xml:space="preserve"> </w:t>
      </w:r>
      <w:r>
        <w:t xml:space="preserve">of 2026 CapEx, including finance-lease principal payments—up from a prior</w:t>
      </w:r>
      <w:r>
        <w:t xml:space="preserve"> </w:t>
      </w:r>
      <m:oMath>
        <m:r>
          <m:t>115</m:t>
        </m:r>
        <m:r>
          <m:t>b</m:t>
        </m:r>
        <m:r>
          <m:t>i</m:t>
        </m:r>
        <m:r>
          <m:t>l</m:t>
        </m:r>
        <m:r>
          <m:t>l</m:t>
        </m:r>
        <m:r>
          <m:t>i</m:t>
        </m:r>
        <m:r>
          <m:t>o</m:t>
        </m:r>
        <m:r>
          <m:t>n</m:t>
        </m:r>
        <m:r>
          <m:rPr>
            <m:sty m:val="p"/>
          </m:rPr>
          <m:t>–</m:t>
        </m:r>
      </m:oMath>
      <w:r>
        <w:rPr>
          <w:b/>
          <w:bCs/>
        </w:rPr>
        <w:t xml:space="preserve">135 billion</w:t>
      </w:r>
      <w:r>
        <w:t xml:space="preserve"> </w:t>
      </w:r>
      <w:r>
        <w:t xml:space="preserve">range. The stated reasons were higher component costs and incremental data-center costs. Q1 CapEx alone was</w:t>
      </w:r>
      <w:r>
        <w:t xml:space="preserve"> </w:t>
      </w:r>
      <m:oMath>
        <m:r>
          <m:t>19.8</m:t>
        </m:r>
        <m:r>
          <m:t>b</m:t>
        </m:r>
        <m:r>
          <m:t>i</m:t>
        </m:r>
        <m:r>
          <m:t>l</m:t>
        </m:r>
        <m:r>
          <m:t>l</m:t>
        </m:r>
        <m:r>
          <m:t>i</m:t>
        </m:r>
        <m:r>
          <m:t>o</m:t>
        </m:r>
        <m:r>
          <m:t>n</m:t>
        </m:r>
        <m:r>
          <m:rPr>
            <m:sty m:val="p"/>
          </m:rPr>
          <m:t>*</m:t>
        </m:r>
        <m:r>
          <m:rPr>
            <m:sty m:val="p"/>
          </m:rPr>
          <m:t>*</m:t>
        </m:r>
        <m:r>
          <m:rPr>
            <m:sty m:val="p"/>
          </m:rPr>
          <m:t>,</m:t>
        </m:r>
        <m:r>
          <m:t>a</m:t>
        </m:r>
        <m:r>
          <m:t>g</m:t>
        </m:r>
        <m:r>
          <m:t>a</m:t>
        </m:r>
        <m:r>
          <m:t>i</m:t>
        </m:r>
        <m:r>
          <m:t>n</m:t>
        </m:r>
        <m:r>
          <m:t>s</m:t>
        </m:r>
        <m:r>
          <m:t>t</m:t>
        </m:r>
        <m:r>
          <m:rPr>
            <m:sty m:val="p"/>
          </m:rPr>
          <m:t>*</m:t>
        </m:r>
        <m:r>
          <m:rPr>
            <m:sty m:val="p"/>
          </m:rPr>
          <m:t>*</m:t>
        </m:r>
      </m:oMath>
      <w:r>
        <w:rPr>
          <w:b/>
          <w:bCs/>
        </w:rPr>
        <w:t xml:space="preserve">12.4 billion</w:t>
      </w:r>
      <w:r>
        <w:t xml:space="preserve"> </w:t>
      </w:r>
      <w:r>
        <w:t xml:space="preserve">of free cash flow. (</w:t>
      </w:r>
      <w:hyperlink r:id="rId11">
        <w:r>
          <w:rPr>
            <w:rStyle w:val="Hyperlink"/>
          </w:rPr>
          <w:t xml:space="preserve">investor.atmeta.com</w:t>
        </w:r>
      </w:hyperlink>
      <w:r>
        <w:t xml:space="preserve">)</w:t>
      </w:r>
    </w:p>
    <w:p>
      <w:pPr>
        <w:pStyle w:val="BodyText"/>
      </w:pPr>
      <w:r>
        <w:t xml:space="preserve">That leaves the market focused on several questions:</w:t>
      </w:r>
    </w:p>
    <w:p>
      <w:pPr>
        <w:numPr>
          <w:ilvl w:val="0"/>
          <w:numId w:val="1003"/>
        </w:numPr>
      </w:pPr>
      <w:r>
        <w:rPr>
          <w:b/>
          <w:bCs/>
        </w:rPr>
        <w:t xml:space="preserve">Does Meta raise CapEx again?</w:t>
      </w:r>
      <w:r>
        <w:br/>
      </w:r>
      <w:r>
        <w:t xml:space="preserve">Another increase would likely be viewed negatively unless accompanied by unusually strong proof of ad ROI, external compute monetization, or greater confidence in the revenue opportunity from agents and AI products.</w:t>
      </w:r>
    </w:p>
    <w:p>
      <w:pPr>
        <w:numPr>
          <w:ilvl w:val="0"/>
          <w:numId w:val="1003"/>
        </w:numPr>
      </w:pPr>
      <w:r>
        <w:rPr>
          <w:b/>
          <w:bCs/>
        </w:rPr>
        <w:t xml:space="preserve">Does full-year expense guidance move?</w:t>
      </w:r>
      <w:r>
        <w:br/>
      </w:r>
      <w:r>
        <w:t xml:space="preserve">Current 2026 expense guidance is</w:t>
      </w:r>
      <w:r>
        <w:t xml:space="preserve"> </w:t>
      </w:r>
      <m:oMath>
        <m:r>
          <m:t>162</m:t>
        </m:r>
        <m:r>
          <m:t>b</m:t>
        </m:r>
        <m:r>
          <m:t>i</m:t>
        </m:r>
        <m:r>
          <m:t>l</m:t>
        </m:r>
        <m:r>
          <m:t>l</m:t>
        </m:r>
        <m:r>
          <m:t>i</m:t>
        </m:r>
        <m:r>
          <m:t>o</m:t>
        </m:r>
        <m:r>
          <m:t>n</m:t>
        </m:r>
        <m:r>
          <m:rPr>
            <m:sty m:val="p"/>
          </m:rPr>
          <m:t>–</m:t>
        </m:r>
      </m:oMath>
      <w:r>
        <w:rPr>
          <w:b/>
          <w:bCs/>
        </w:rPr>
        <w:t xml:space="preserve">169 billion</w:t>
      </w:r>
      <w:r>
        <w:t xml:space="preserve">. Holding that range while revenue outperforms would support an operating-leverage narrative; raising it would reintroduce concerns around AI talent, infrastructure operating costs, and depreciation. (</w:t>
      </w:r>
      <w:hyperlink r:id="rId11">
        <w:r>
          <w:rPr>
            <w:rStyle w:val="Hyperlink"/>
          </w:rPr>
          <w:t xml:space="preserve">investor.atmeta.com</w:t>
        </w:r>
      </w:hyperlink>
      <w:r>
        <w:t xml:space="preserve">)</w:t>
      </w:r>
    </w:p>
    <w:p>
      <w:pPr>
        <w:numPr>
          <w:ilvl w:val="0"/>
          <w:numId w:val="1003"/>
        </w:numPr>
      </w:pPr>
      <w:r>
        <w:rPr>
          <w:b/>
          <w:bCs/>
        </w:rPr>
        <w:t xml:space="preserve">How does management frame 2027?</w:t>
      </w:r>
      <w:r>
        <w:br/>
      </w:r>
      <w:r>
        <w:t xml:space="preserve">Meta does not need to issue formal 2027 CapEx guidance tonight for investors to react. Any indication that spending continues to rise materially next year—or that external financing and off-balance-sheet structures will become more important—will be scrutinized.</w:t>
      </w:r>
    </w:p>
    <w:p>
      <w:pPr>
        <w:numPr>
          <w:ilvl w:val="0"/>
          <w:numId w:val="1003"/>
        </w:numPr>
      </w:pPr>
      <w:r>
        <w:rPr>
          <w:b/>
          <w:bCs/>
        </w:rPr>
        <w:t xml:space="preserve">Can free cash flow remain investable?</w:t>
      </w:r>
      <w:r>
        <w:br/>
      </w:r>
      <w:r>
        <w:t xml:space="preserve">The business has enormous operating cash generation, but CapEx intensity is changing the equity story. Investors will increasingly judge Meta on the spread between operating cash flow and infrastructure investment, rather than only on operating margin.</w:t>
      </w:r>
    </w:p>
    <w:bookmarkEnd w:id="14"/>
    <w:bookmarkStart w:id="15" w:name="ai-what-would-count-as-genuine-progress"/>
    <w:p>
      <w:pPr>
        <w:pStyle w:val="Heading2"/>
      </w:pPr>
      <w:r>
        <w:t xml:space="preserve">AI: what would count as genuine progress?</w:t>
      </w:r>
    </w:p>
    <w:p>
      <w:pPr>
        <w:pStyle w:val="FirstParagraph"/>
      </w:pPr>
      <w:r>
        <w:t xml:space="preserve">The strongest outcome would be management drawing a clear line from infrastructure spend to tangible returns:</w:t>
      </w:r>
    </w:p>
    <w:p>
      <w:pPr>
        <w:pStyle w:val="Compact"/>
        <w:numPr>
          <w:ilvl w:val="0"/>
          <w:numId w:val="1004"/>
        </w:numPr>
      </w:pPr>
      <w:r>
        <w:t xml:space="preserve">better recommendations → more engagement;</w:t>
      </w:r>
    </w:p>
    <w:p>
      <w:pPr>
        <w:pStyle w:val="Compact"/>
        <w:numPr>
          <w:ilvl w:val="0"/>
          <w:numId w:val="1004"/>
        </w:numPr>
      </w:pPr>
      <w:r>
        <w:t xml:space="preserve">more engagement → more ad impressions;</w:t>
      </w:r>
    </w:p>
    <w:p>
      <w:pPr>
        <w:pStyle w:val="Compact"/>
        <w:numPr>
          <w:ilvl w:val="0"/>
          <w:numId w:val="1004"/>
        </w:numPr>
      </w:pPr>
      <w:r>
        <w:t xml:space="preserve">better ad models and creative tools → better advertiser ROI and pricing;</w:t>
      </w:r>
    </w:p>
    <w:p>
      <w:pPr>
        <w:pStyle w:val="Compact"/>
        <w:numPr>
          <w:ilvl w:val="0"/>
          <w:numId w:val="1004"/>
        </w:numPr>
      </w:pPr>
      <w:r>
        <w:t xml:space="preserve">agents/business messaging → new revenue pools over time;</w:t>
      </w:r>
    </w:p>
    <w:p>
      <w:pPr>
        <w:pStyle w:val="Compact"/>
        <w:numPr>
          <w:ilvl w:val="0"/>
          <w:numId w:val="1004"/>
        </w:numPr>
      </w:pPr>
      <w:r>
        <w:t xml:space="preserve">custom silicon and efficiency gains → lower unit cost of inference.</w:t>
      </w:r>
    </w:p>
    <w:p>
      <w:pPr>
        <w:pStyle w:val="FirstParagraph"/>
      </w:pPr>
      <w:r>
        <w:t xml:space="preserve">The weaker outcome would be broad product enthusiasm without milestones around adoption, monetization, inference cost, or capacity utilization. Meta can afford to invest heavily, but the market now wants evidence that the company is</w:t>
      </w:r>
      <w:r>
        <w:t xml:space="preserve"> </w:t>
      </w:r>
      <w:r>
        <w:rPr>
          <w:b/>
          <w:bCs/>
        </w:rPr>
        <w:t xml:space="preserve">compounding returns on compute</w:t>
      </w:r>
      <w:r>
        <w:t xml:space="preserve">, not simply accumulating compute.</w:t>
      </w:r>
    </w:p>
    <w:bookmarkEnd w:id="15"/>
    <w:bookmarkStart w:id="16" w:name="other-swing-factors"/>
    <w:p>
      <w:pPr>
        <w:pStyle w:val="Heading2"/>
      </w:pPr>
      <w:r>
        <w:t xml:space="preserve">Other swing factors</w:t>
      </w:r>
    </w:p>
    <w:p>
      <w:pPr>
        <w:pStyle w:val="Compact"/>
        <w:numPr>
          <w:ilvl w:val="0"/>
          <w:numId w:val="1005"/>
        </w:numPr>
      </w:pPr>
      <w:r>
        <w:rPr>
          <w:b/>
          <w:bCs/>
        </w:rPr>
        <w:t xml:space="preserve">Reality Labs:</w:t>
      </w:r>
      <w:r>
        <w:t xml:space="preserve"> </w:t>
      </w:r>
      <w:r>
        <w:t xml:space="preserve">Losses matter less than the AI spend debate, but a widening loss without a strong smart-glasses revenue or adoption narrative would be a modest negative.</w:t>
      </w:r>
    </w:p>
    <w:p>
      <w:pPr>
        <w:pStyle w:val="Compact"/>
        <w:numPr>
          <w:ilvl w:val="0"/>
          <w:numId w:val="1005"/>
        </w:numPr>
      </w:pPr>
      <w:r>
        <w:rPr>
          <w:b/>
          <w:bCs/>
        </w:rPr>
        <w:t xml:space="preserve">Regulatory and litigation exposure:</w:t>
      </w:r>
      <w:r>
        <w:t xml:space="preserve"> </w:t>
      </w:r>
      <w:r>
        <w:t xml:space="preserve">Meta has flagged continuing EU and U.S. legal and regulatory headwinds, including youth-related matters that could ultimately result in a material loss. Any reserve, updated disclosure, or adverse commentary would be important. (</w:t>
      </w:r>
      <w:hyperlink r:id="rId11">
        <w:r>
          <w:rPr>
            <w:rStyle w:val="Hyperlink"/>
          </w:rPr>
          <w:t xml:space="preserve">investor.atmeta.com</w:t>
        </w:r>
      </w:hyperlink>
      <w:r>
        <w:t xml:space="preserve">)</w:t>
      </w:r>
    </w:p>
    <w:p>
      <w:pPr>
        <w:pStyle w:val="Compact"/>
        <w:numPr>
          <w:ilvl w:val="0"/>
          <w:numId w:val="1005"/>
        </w:numPr>
      </w:pPr>
      <w:r>
        <w:rPr>
          <w:b/>
          <w:bCs/>
        </w:rPr>
        <w:t xml:space="preserve">Tax rate:</w:t>
      </w:r>
      <w:r>
        <w:t xml:space="preserve"> </w:t>
      </w:r>
      <w:r>
        <w:t xml:space="preserve">Management previously expected a</w:t>
      </w:r>
      <w:r>
        <w:t xml:space="preserve"> </w:t>
      </w:r>
      <w:r>
        <w:rPr>
          <w:b/>
          <w:bCs/>
        </w:rPr>
        <w:t xml:space="preserve">13%–16%</w:t>
      </w:r>
      <w:r>
        <w:t xml:space="preserve"> </w:t>
      </w:r>
      <w:r>
        <w:t xml:space="preserve">tax rate for the remaining quarters of 2026 absent further tax-law changes. A material deviation could move EPS but is less consequential than the operating and cash-flow picture. (</w:t>
      </w:r>
      <w:hyperlink r:id="rId11">
        <w:r>
          <w:rPr>
            <w:rStyle w:val="Hyperlink"/>
          </w:rPr>
          <w:t xml:space="preserve">investor.atmeta.com</w:t>
        </w:r>
      </w:hyperlink>
      <w:r>
        <w:t xml:space="preserve">)</w:t>
      </w:r>
    </w:p>
    <w:bookmarkEnd w:id="16"/>
    <w:bookmarkStart w:id="19" w:name="what-matters-most-tonight"/>
    <w:p>
      <w:pPr>
        <w:pStyle w:val="Heading2"/>
      </w:pPr>
      <w:r>
        <w:t xml:space="preserve">What matters most tonight</w:t>
      </w:r>
    </w:p>
    <w:bookmarkStart w:id="17" w:name="a-bullish-report"/>
    <w:p>
      <w:pPr>
        <w:pStyle w:val="Heading3"/>
      </w:pPr>
      <w:r>
        <w:t xml:space="preserve">A bullish report</w:t>
      </w:r>
    </w:p>
    <w:p>
      <w:pPr>
        <w:pStyle w:val="Compact"/>
        <w:numPr>
          <w:ilvl w:val="0"/>
          <w:numId w:val="1006"/>
        </w:numPr>
      </w:pPr>
      <w:r>
        <w:t xml:space="preserve">Revenue at or above the top end of the</w:t>
      </w:r>
      <w:r>
        <w:t xml:space="preserve"> </w:t>
      </w:r>
      <m:oMath>
        <m:r>
          <m:t>58</m:t>
        </m:r>
        <m:r>
          <m:t>B</m:t>
        </m:r>
        <m:r>
          <m:rPr>
            <m:sty m:val="p"/>
          </m:rPr>
          <m:t>–</m:t>
        </m:r>
      </m:oMath>
      <w:r>
        <w:t xml:space="preserve">61B range.</w:t>
      </w:r>
    </w:p>
    <w:p>
      <w:pPr>
        <w:pStyle w:val="Compact"/>
        <w:numPr>
          <w:ilvl w:val="0"/>
          <w:numId w:val="1006"/>
        </w:numPr>
      </w:pPr>
      <w:r>
        <w:t xml:space="preserve">Continued strength in both ad pricing and impression growth.</w:t>
      </w:r>
    </w:p>
    <w:p>
      <w:pPr>
        <w:pStyle w:val="Compact"/>
        <w:numPr>
          <w:ilvl w:val="0"/>
          <w:numId w:val="1006"/>
        </w:numPr>
      </w:pPr>
      <w:r>
        <w:t xml:space="preserve">Clear incremental evidence that AI is lifting ad performance and engagement.</w:t>
      </w:r>
    </w:p>
    <w:p>
      <w:pPr>
        <w:pStyle w:val="Compact"/>
        <w:numPr>
          <w:ilvl w:val="0"/>
          <w:numId w:val="1006"/>
        </w:numPr>
      </w:pPr>
      <w:r>
        <w:t xml:space="preserve">Q3 revenue guide that supports sustained mid-to-high-20% growth.</w:t>
      </w:r>
    </w:p>
    <w:p>
      <w:pPr>
        <w:pStyle w:val="Compact"/>
        <w:numPr>
          <w:ilvl w:val="0"/>
          <w:numId w:val="1006"/>
        </w:numPr>
      </w:pPr>
      <w:r>
        <w:t xml:space="preserve">No increase to 2026 CapEx or expense guidance—or a raise accompanied by compelling monetization and efficiency evidence.</w:t>
      </w:r>
    </w:p>
    <w:p>
      <w:pPr>
        <w:pStyle w:val="Compact"/>
        <w:numPr>
          <w:ilvl w:val="0"/>
          <w:numId w:val="1006"/>
        </w:numPr>
      </w:pPr>
      <w:r>
        <w:t xml:space="preserve">Stable operating margin and credible free-cash-flow trajectory.</w:t>
      </w:r>
    </w:p>
    <w:bookmarkEnd w:id="17"/>
    <w:bookmarkStart w:id="18" w:name="a-bearish-report"/>
    <w:p>
      <w:pPr>
        <w:pStyle w:val="Heading3"/>
      </w:pPr>
      <w:r>
        <w:t xml:space="preserve">A bearish report</w:t>
      </w:r>
    </w:p>
    <w:p>
      <w:pPr>
        <w:pStyle w:val="Compact"/>
        <w:numPr>
          <w:ilvl w:val="0"/>
          <w:numId w:val="1007"/>
        </w:numPr>
      </w:pPr>
      <w:r>
        <w:t xml:space="preserve">Revenue merely around the midpoint of guidance or weak Q3 commentary.</w:t>
      </w:r>
    </w:p>
    <w:p>
      <w:pPr>
        <w:pStyle w:val="Compact"/>
        <w:numPr>
          <w:ilvl w:val="0"/>
          <w:numId w:val="1007"/>
        </w:numPr>
      </w:pPr>
      <w:r>
        <w:t xml:space="preserve">Deceleration in ad pricing, engagement, or ad impressions.</w:t>
      </w:r>
    </w:p>
    <w:p>
      <w:pPr>
        <w:pStyle w:val="Compact"/>
        <w:numPr>
          <w:ilvl w:val="0"/>
          <w:numId w:val="1007"/>
        </w:numPr>
      </w:pPr>
      <w:r>
        <w:t xml:space="preserve">Higher CapEx/expense outlook without clearer return milestones.</w:t>
      </w:r>
    </w:p>
    <w:p>
      <w:pPr>
        <w:pStyle w:val="Compact"/>
        <w:numPr>
          <w:ilvl w:val="0"/>
          <w:numId w:val="1007"/>
        </w:numPr>
      </w:pPr>
      <w:r>
        <w:t xml:space="preserve">A sharp deterioration in free cash flow.</w:t>
      </w:r>
    </w:p>
    <w:p>
      <w:pPr>
        <w:pStyle w:val="Compact"/>
        <w:numPr>
          <w:ilvl w:val="0"/>
          <w:numId w:val="1007"/>
        </w:numPr>
      </w:pPr>
      <w:r>
        <w:t xml:space="preserve">Language suggesting the company’s capacity needs are expanding faster than its ability to monetize the investment.</w:t>
      </w:r>
    </w:p>
    <w:bookmarkEnd w:id="18"/>
    <w:bookmarkEnd w:id="19"/>
    <w:bookmarkStart w:id="21" w:name="investment-view-into-the-print"/>
    <w:p>
      <w:pPr>
        <w:pStyle w:val="Heading2"/>
      </w:pPr>
      <w:r>
        <w:t xml:space="preserve">Investment view into the print</w:t>
      </w:r>
    </w:p>
    <w:p>
      <w:pPr>
        <w:pStyle w:val="FirstParagraph"/>
      </w:pPr>
      <w:r>
        <w:rPr>
          <w:b/>
          <w:bCs/>
        </w:rPr>
        <w:t xml:space="preserve">The operational setup looks favorable; the capital-allocation setup is demanding.</w:t>
      </w:r>
      <w:r>
        <w:t xml:space="preserve"> </w:t>
      </w:r>
      <w:r>
        <w:t xml:space="preserve">Meta’s core ads engine has the ingredients for another strong quarter, and the consensus revenue expectation near $60.2 billion remains within the company’s guided range. But that strength is largely expected. For the stock to work after earnings, management likely needs to demonstrate that AI spending is enhancing—not eventually diluting—the company’s exceptional advertising economics. (</w:t>
      </w:r>
      <w:hyperlink r:id="rId20">
        <w:r>
          <w:rPr>
            <w:rStyle w:val="Hyperlink"/>
          </w:rPr>
          <w:t xml:space="preserve">benzinga.com</w:t>
        </w:r>
      </w:hyperlink>
      <w:r>
        <w:t xml:space="preserve">)</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investor.atmeta.com/investor-news/press-release-details/2026/Meta-Reports-First-Quarter-2026-Results/default.aspx?utm_source=openai" TargetMode="External" /><Relationship Type="http://schemas.openxmlformats.org/officeDocument/2006/relationships/hyperlink" Id="rId9" Target="https://investor.atmeta.com/investor-news/press-release-details/2026/Meta-to-Announce-Second-Quarter-2026-Results/default.aspx?utm_source=openai" TargetMode="External" /><Relationship Type="http://schemas.openxmlformats.org/officeDocument/2006/relationships/hyperlink" Id="rId20" Target="https://www.benzinga.com/quote/META/earnings" TargetMode="External" /></Relationships>
</file>

<file path=word/_rels/footnotes.xml.rels><?xml version="1.0" encoding="UTF-8"?><Relationships xmlns="http://schemas.openxmlformats.org/package/2006/relationships"><Relationship Type="http://schemas.openxmlformats.org/officeDocument/2006/relationships/hyperlink" Id="rId11" Target="https://investor.atmeta.com/investor-news/press-release-details/2026/Meta-Reports-First-Quarter-2026-Results/default.aspx?utm_source=openai" TargetMode="External" /><Relationship Type="http://schemas.openxmlformats.org/officeDocument/2006/relationships/hyperlink" Id="rId9" Target="https://investor.atmeta.com/investor-news/press-release-details/2026/Meta-to-Announce-Second-Quarter-2026-Results/default.aspx?utm_source=openai" TargetMode="External" /><Relationship Type="http://schemas.openxmlformats.org/officeDocument/2006/relationships/hyperlink" Id="rId20" Target="https://www.benzinga.com/quote/META/earning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2026-07-29T01:16:00Z</dcterms:created>
  <dcterms:modified xsi:type="dcterms:W3CDTF">2026-07-29T01:16:00Z</dcterms:modified>
</cp:coreProperties>
</file>

<file path=docProps/custom.xml><?xml version="1.0" encoding="utf-8"?>
<Properties xmlns="http://schemas.openxmlformats.org/officeDocument/2006/custom-properties" xmlns:vt="http://schemas.openxmlformats.org/officeDocument/2006/docPropsVTypes"/>
</file>