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eta-earnings-predictions--2026-07-29"/>
    <w:p>
      <w:pPr>
        <w:pStyle w:val="Heading1"/>
      </w:pPr>
      <w:r>
        <w:t xml:space="preserve">META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~$61.0B vs. cons $60.23B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Avg Price Per Ad YoY Growth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~+11% vs. cons +12.7%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Capex incl. finance leases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~$34.5B vs. cons $33.3B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(Q3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65</m:t>
              </m:r>
              <m:r>
                <m:t>B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65-66B implied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Capex incl. finance leases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130</m:t>
              </m:r>
              <m:r>
                <m:rPr>
                  <m:sty m:val="p"/>
                </m:rPr>
                <m:t>−</m:t>
              </m:r>
              <m:r>
                <m:t>150</m:t>
              </m:r>
              <m:r>
                <m:t>B</m:t>
              </m:r>
              <m:r>
                <m:rPr>
                  <m:sty m:val="p"/>
                </m:rPr>
                <m:t>(</m:t>
              </m:r>
            </m:oMath>
            <w:r>
              <w:t xml:space="preserve">140B mid) vs. cons $139.4B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Total Expenses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162</m:t>
              </m:r>
              <m:r>
                <m:rPr>
                  <m:sty m:val="p"/>
                </m:rPr>
                <m:t>−</m:t>
              </m:r>
              <m:r>
                <m:t>169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r</m:t>
              </m:r>
              <m:r>
                <m:t>e</m:t>
              </m:r>
              <m:r>
                <m:t>a</m:t>
              </m:r>
              <m:r>
                <m:t>f</m:t>
              </m:r>
              <m:r>
                <m:t>f</m:t>
              </m:r>
              <m:r>
                <m:t>i</m:t>
              </m:r>
              <m:r>
                <m:t>r</m:t>
              </m:r>
              <m:r>
                <m:t>m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165B implied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-6.0%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-8.0% (STABILIZE)</w:t>
            </w:r>
          </w:p>
        </w:tc>
        <w:tc>
          <w:tcPr/>
          <w:p>
            <w:pPr>
              <w:pStyle w:val="Compact"/>
            </w:pPr>
            <w:r>
              <w:t xml:space="preserve">STABILIZE — short covering provides brief floor post-selloff, then FCF estimate cuts resume downward drift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2026-07-31T21:30:12Z</dcterms:created>
  <dcterms:modified xsi:type="dcterms:W3CDTF">2026-07-31T21:30:12Z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