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META Platforms, Inc. (META)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Meta Platforms, Inc. (NASDAQ: META)</w:t>
            </w:r>
          </w:p>
        </w:tc>
      </w:tr>
      <w:tr>
        <w:tc>
          <w:tcPr>
            <w:tcW w:type="dxa" w:w="4320"/>
          </w:tcPr>
          <w:p>
            <w:r>
              <w:rPr>
                <w:rFonts w:ascii="Calibri" w:hAnsi="Calibri"/>
                <w:b/>
                <w:sz w:val="22"/>
              </w:rPr>
              <w:t>Upcoming Earnings Date</w:t>
            </w:r>
          </w:p>
        </w:tc>
        <w:tc>
          <w:tcPr>
            <w:tcW w:type="dxa" w:w="4320"/>
          </w:tcPr>
          <w:p>
            <w:r>
              <w:rPr>
                <w:rFonts w:ascii="Calibri" w:hAnsi="Calibri"/>
                <w:sz w:val="22"/>
              </w:rPr>
              <w:t>July 29, 2026 — After Market Close (Conference Call: 5:00 PM ET / 1:30 PM PT)</w:t>
            </w:r>
          </w:p>
        </w:tc>
      </w:tr>
      <w:tr>
        <w:tc>
          <w:tcPr>
            <w:tcW w:type="dxa" w:w="4320"/>
          </w:tcPr>
          <w:p>
            <w:r>
              <w:rPr>
                <w:rFonts w:ascii="Calibri" w:hAnsi="Calibri"/>
                <w:b/>
                <w:sz w:val="22"/>
              </w:rPr>
              <w:t>Last Reported Period</w:t>
            </w:r>
          </w:p>
        </w:tc>
        <w:tc>
          <w:tcPr>
            <w:tcW w:type="dxa" w:w="4320"/>
          </w:tcPr>
          <w:p>
            <w:r>
              <w:rPr>
                <w:rFonts w:ascii="Calibri" w:hAnsi="Calibri"/>
                <w:sz w:val="22"/>
              </w:rPr>
              <w:t>Q1 2026 (reported April 29,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for a revenue beat — consensus sits at $60.2B, squarely within the $58–61B guidance range — but the real swing factor is whether management raises or holds the 2026 capex range ($125–145B), as any further upward revision risks repeating the Q1 post-earnings selloff.</w:t>
      </w:r>
    </w:p>
    <w:p>
      <w:r>
        <w:rPr>
          <w:rFonts w:ascii="Calibri" w:hAnsi="Calibri"/>
          <w:color w:val="525866"/>
          <w:sz w:val="22"/>
        </w:rPr>
        <w:t>Heading into Q2 2026, Meta's bar is achievable but not low: consensus revenue of $60.2B (Visible Alpha) implies ~27% YoY growth and sits at the midpoint of the company's own guidance range, leaving limited room for a dramatic upside surprise on the top line. Management's tone on the Q1 call was confident on core advertising — ad impressions grew 19% YoY and average price per ad rose 12% in Q1 — and the Q2 guide assumed a ~2% FX tailwind, which has largely materialized. Estimate revisions since the Q1 print have been modestly positive, with the 2026FY revenue consensus edging up from $252.7B to $253.0B, suggesting the Street is incrementally more constructive but not aggressively chasing numbers higher. The stock has underperformed meaningfully since Q1 earnings, falling ~11% vs. the S&amp;P 500's +4% gain, driven almost entirely by the capex shock rather than any deterioration in core business fundamentals, which means the multiple has compressed and a clean print could catalyze a re-rating. The single biggest wildcard is the trajectory of the 2026 capex guide: memory pricing and data center costs drove the Q1 raise to $125–145B, and any signal that the range is stable — or better, that efficiency gains from custom silicon (Broadcom partnership) are offsetting cost pressures — would be the most powerful positive catalyst; conversely, a third consecutive raise would likely overwhelm even a strong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on revenue ($60.2B) and operating income ($21.5B), both within guidance; ad impressions growth (~6% YoY consensus) is the bigger swing factor given the strong 19% Q1 print, and any acceleration there alongside stable pricing would drive a meaningful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$56.3B</w:t>
            </w:r>
          </w:p>
        </w:tc>
        <w:tc>
          <w:tcPr>
            <w:tcW w:type="dxa" w:w="1234"/>
          </w:tcPr>
          <w:p>
            <w:r>
              <w:rPr>
                <w:rFonts w:ascii="Calibri" w:hAnsi="Calibri"/>
                <w:sz w:val="22"/>
              </w:rPr>
              <w:t>$47.5B</w:t>
            </w:r>
          </w:p>
        </w:tc>
        <w:tc>
          <w:tcPr>
            <w:tcW w:type="dxa" w:w="1234"/>
          </w:tcPr>
          <w:p>
            <w:r>
              <w:rPr>
                <w:rFonts w:ascii="Calibri" w:hAnsi="Calibri"/>
                <w:sz w:val="22"/>
              </w:rPr>
              <w:t>$60.2B</w:t>
            </w:r>
          </w:p>
        </w:tc>
        <w:tc>
          <w:tcPr>
            <w:tcW w:type="dxa" w:w="1234"/>
          </w:tcPr>
          <w:p>
            <w:r>
              <w:rPr>
                <w:rFonts w:ascii="Calibri" w:hAnsi="Calibri"/>
                <w:sz w:val="22"/>
              </w:rPr>
              <w:t>+26.7%</w:t>
            </w:r>
          </w:p>
        </w:tc>
        <w:tc>
          <w:tcPr>
            <w:tcW w:type="dxa" w:w="1234"/>
          </w:tcPr>
          <w:p>
            <w:r>
              <w:rPr>
                <w:rFonts w:ascii="Calibri" w:hAnsi="Calibri"/>
                <w:sz w:val="22"/>
              </w:rPr>
              <w:t>$58–$61B (mid: $59.5B)</w:t>
            </w:r>
          </w:p>
        </w:tc>
        <w:tc>
          <w:tcPr>
            <w:tcW w:type="dxa" w:w="1234"/>
          </w:tcPr>
          <w:p>
            <w:r>
              <w:rPr>
                <w:rFonts w:ascii="Calibri" w:hAnsi="Calibri"/>
                <w:sz w:val="22"/>
              </w:rPr>
              <w:t>+1.2%</w:t>
            </w:r>
          </w:p>
        </w:tc>
      </w:tr>
      <w:tr>
        <w:tc>
          <w:tcPr>
            <w:tcW w:type="dxa" w:w="1234"/>
          </w:tcPr>
          <w:p>
            <w:r>
              <w:rPr>
                <w:rFonts w:ascii="Calibri" w:hAnsi="Calibri"/>
                <w:sz w:val="22"/>
              </w:rPr>
              <w:t>Advertising Revenue ($B)</w:t>
            </w:r>
          </w:p>
        </w:tc>
        <w:tc>
          <w:tcPr>
            <w:tcW w:type="dxa" w:w="1234"/>
          </w:tcPr>
          <w:p>
            <w:r>
              <w:rPr>
                <w:rFonts w:ascii="Calibri" w:hAnsi="Calibri"/>
                <w:sz w:val="22"/>
              </w:rPr>
              <w:t>$55.0B</w:t>
            </w:r>
          </w:p>
        </w:tc>
        <w:tc>
          <w:tcPr>
            <w:tcW w:type="dxa" w:w="1234"/>
          </w:tcPr>
          <w:p>
            <w:r>
              <w:rPr>
                <w:rFonts w:ascii="Calibri" w:hAnsi="Calibri"/>
                <w:sz w:val="22"/>
              </w:rPr>
              <w:t>$46.6B</w:t>
            </w:r>
          </w:p>
        </w:tc>
        <w:tc>
          <w:tcPr>
            <w:tcW w:type="dxa" w:w="1234"/>
          </w:tcPr>
          <w:p>
            <w:r>
              <w:rPr>
                <w:rFonts w:ascii="Calibri" w:hAnsi="Calibri"/>
                <w:sz w:val="22"/>
              </w:rPr>
              <w:t>$58.9B</w:t>
            </w:r>
          </w:p>
        </w:tc>
        <w:tc>
          <w:tcPr>
            <w:tcW w:type="dxa" w:w="1234"/>
          </w:tcPr>
          <w:p>
            <w:r>
              <w:rPr>
                <w:rFonts w:ascii="Calibri" w:hAnsi="Calibri"/>
                <w:sz w:val="22"/>
              </w:rPr>
              <w:t>+26.5%</w:t>
            </w:r>
          </w:p>
        </w:tc>
        <w:tc>
          <w:tcPr>
            <w:tcW w:type="dxa" w:w="1234"/>
          </w:tcPr>
          <w:p>
            <w:r>
              <w:rPr>
                <w:rFonts w:ascii="Calibri" w:hAnsi="Calibri"/>
                <w:sz w:val="22"/>
              </w:rPr>
              <w:t>N/A (total rev guided)</w:t>
            </w:r>
          </w:p>
        </w:tc>
        <w:tc>
          <w:tcPr>
            <w:tcW w:type="dxa" w:w="1234"/>
          </w:tcPr>
          <w:p>
            <w:r>
              <w:rPr>
                <w:rFonts w:ascii="Calibri" w:hAnsi="Calibri"/>
                <w:sz w:val="22"/>
              </w:rPr>
              <w:t>N/A</w:t>
            </w:r>
          </w:p>
        </w:tc>
      </w:tr>
      <w:tr>
        <w:tc>
          <w:tcPr>
            <w:tcW w:type="dxa" w:w="1234"/>
          </w:tcPr>
          <w:p>
            <w:r>
              <w:rPr>
                <w:rFonts w:ascii="Calibri" w:hAnsi="Calibri"/>
                <w:sz w:val="22"/>
              </w:rPr>
              <w:t>Family of Apps Revenue ($B)</w:t>
            </w:r>
          </w:p>
        </w:tc>
        <w:tc>
          <w:tcPr>
            <w:tcW w:type="dxa" w:w="1234"/>
          </w:tcPr>
          <w:p>
            <w:r>
              <w:rPr>
                <w:rFonts w:ascii="Calibri" w:hAnsi="Calibri"/>
                <w:sz w:val="22"/>
              </w:rPr>
              <w:t>$55.9B</w:t>
            </w:r>
          </w:p>
        </w:tc>
        <w:tc>
          <w:tcPr>
            <w:tcW w:type="dxa" w:w="1234"/>
          </w:tcPr>
          <w:p>
            <w:r>
              <w:rPr>
                <w:rFonts w:ascii="Calibri" w:hAnsi="Calibri"/>
                <w:sz w:val="22"/>
              </w:rPr>
              <w:t>$47.1B</w:t>
            </w:r>
          </w:p>
        </w:tc>
        <w:tc>
          <w:tcPr>
            <w:tcW w:type="dxa" w:w="1234"/>
          </w:tcPr>
          <w:p>
            <w:r>
              <w:rPr>
                <w:rFonts w:ascii="Calibri" w:hAnsi="Calibri"/>
                <w:sz w:val="22"/>
              </w:rPr>
              <w:t>$59.8B</w:t>
            </w:r>
          </w:p>
        </w:tc>
        <w:tc>
          <w:tcPr>
            <w:tcW w:type="dxa" w:w="1234"/>
          </w:tcPr>
          <w:p>
            <w:r>
              <w:rPr>
                <w:rFonts w:ascii="Calibri" w:hAnsi="Calibri"/>
                <w:sz w:val="22"/>
              </w:rPr>
              <w:t>+26.9%</w:t>
            </w:r>
          </w:p>
        </w:tc>
        <w:tc>
          <w:tcPr>
            <w:tcW w:type="dxa" w:w="1234"/>
          </w:tcPr>
          <w:p>
            <w:r>
              <w:rPr>
                <w:rFonts w:ascii="Calibri" w:hAnsi="Calibri"/>
                <w:sz w:val="22"/>
              </w:rPr>
              <w:t>N/A (total rev guided)</w:t>
            </w:r>
          </w:p>
        </w:tc>
        <w:tc>
          <w:tcPr>
            <w:tcW w:type="dxa" w:w="1234"/>
          </w:tcPr>
          <w:p>
            <w:r>
              <w:rPr>
                <w:rFonts w:ascii="Calibri" w:hAnsi="Calibri"/>
                <w:sz w:val="22"/>
              </w:rPr>
              <w:t>N/A</w:t>
            </w:r>
          </w:p>
        </w:tc>
      </w:tr>
      <w:tr>
        <w:tc>
          <w:tcPr>
            <w:tcW w:type="dxa" w:w="1234"/>
          </w:tcPr>
          <w:p>
            <w:r>
              <w:rPr>
                <w:rFonts w:ascii="Calibri" w:hAnsi="Calibri"/>
                <w:sz w:val="22"/>
              </w:rPr>
              <w:t>Reality Labs Revenue ($M)</w:t>
            </w:r>
          </w:p>
        </w:tc>
        <w:tc>
          <w:tcPr>
            <w:tcW w:type="dxa" w:w="1234"/>
          </w:tcPr>
          <w:p>
            <w:r>
              <w:rPr>
                <w:rFonts w:ascii="Calibri" w:hAnsi="Calibri"/>
                <w:sz w:val="22"/>
              </w:rPr>
              <w:t>$402M</w:t>
            </w:r>
          </w:p>
        </w:tc>
        <w:tc>
          <w:tcPr>
            <w:tcW w:type="dxa" w:w="1234"/>
          </w:tcPr>
          <w:p>
            <w:r>
              <w:rPr>
                <w:rFonts w:ascii="Calibri" w:hAnsi="Calibri"/>
                <w:sz w:val="22"/>
              </w:rPr>
              <w:t>$370M</w:t>
            </w:r>
          </w:p>
        </w:tc>
        <w:tc>
          <w:tcPr>
            <w:tcW w:type="dxa" w:w="1234"/>
          </w:tcPr>
          <w:p>
            <w:r>
              <w:rPr>
                <w:rFonts w:ascii="Calibri" w:hAnsi="Calibri"/>
                <w:sz w:val="22"/>
              </w:rPr>
              <w:t>$422M</w:t>
            </w:r>
          </w:p>
        </w:tc>
        <w:tc>
          <w:tcPr>
            <w:tcW w:type="dxa" w:w="1234"/>
          </w:tcPr>
          <w:p>
            <w:r>
              <w:rPr>
                <w:rFonts w:ascii="Calibri" w:hAnsi="Calibri"/>
                <w:sz w:val="22"/>
              </w:rPr>
              <w:t>+14.1%</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$22.9B</w:t>
            </w:r>
          </w:p>
        </w:tc>
        <w:tc>
          <w:tcPr>
            <w:tcW w:type="dxa" w:w="1234"/>
          </w:tcPr>
          <w:p>
            <w:r>
              <w:rPr>
                <w:rFonts w:ascii="Calibri" w:hAnsi="Calibri"/>
                <w:sz w:val="22"/>
              </w:rPr>
              <w:t>$20.4B</w:t>
            </w:r>
          </w:p>
        </w:tc>
        <w:tc>
          <w:tcPr>
            <w:tcW w:type="dxa" w:w="1234"/>
          </w:tcPr>
          <w:p>
            <w:r>
              <w:rPr>
                <w:rFonts w:ascii="Calibri" w:hAnsi="Calibri"/>
                <w:sz w:val="22"/>
              </w:rPr>
              <w:t>$21.5B</w:t>
            </w:r>
          </w:p>
        </w:tc>
        <w:tc>
          <w:tcPr>
            <w:tcW w:type="dxa" w:w="1234"/>
          </w:tcPr>
          <w:p>
            <w:r>
              <w:rPr>
                <w:rFonts w:ascii="Calibri" w:hAnsi="Calibri"/>
                <w:sz w:val="22"/>
              </w:rPr>
              <w:t>+5.3%</w:t>
            </w:r>
          </w:p>
        </w:tc>
        <w:tc>
          <w:tcPr>
            <w:tcW w:type="dxa" w:w="1234"/>
          </w:tcPr>
          <w:p>
            <w:r>
              <w:rPr>
                <w:rFonts w:ascii="Calibri" w:hAnsi="Calibri"/>
                <w:sz w:val="22"/>
              </w:rPr>
              <w:t>FY26 op. income &gt; FY25</w:t>
            </w:r>
          </w:p>
        </w:tc>
        <w:tc>
          <w:tcPr>
            <w:tcW w:type="dxa" w:w="1234"/>
          </w:tcPr>
          <w:p>
            <w:r>
              <w:rPr>
                <w:rFonts w:ascii="Calibri" w:hAnsi="Calibri"/>
                <w:sz w:val="22"/>
              </w:rPr>
              <w:t>N/A (FY guided only)</w:t>
            </w:r>
          </w:p>
        </w:tc>
      </w:tr>
      <w:tr>
        <w:tc>
          <w:tcPr>
            <w:tcW w:type="dxa" w:w="1234"/>
          </w:tcPr>
          <w:p>
            <w:r>
              <w:rPr>
                <w:rFonts w:ascii="Calibri" w:hAnsi="Calibri"/>
                <w:sz w:val="22"/>
              </w:rPr>
              <w:t>Family of Apps Op. Income ($B)</w:t>
            </w:r>
          </w:p>
        </w:tc>
        <w:tc>
          <w:tcPr>
            <w:tcW w:type="dxa" w:w="1234"/>
          </w:tcPr>
          <w:p>
            <w:r>
              <w:rPr>
                <w:rFonts w:ascii="Calibri" w:hAnsi="Calibri"/>
                <w:sz w:val="22"/>
              </w:rPr>
              <w:t>$26.9B</w:t>
            </w:r>
          </w:p>
        </w:tc>
        <w:tc>
          <w:tcPr>
            <w:tcW w:type="dxa" w:w="1234"/>
          </w:tcPr>
          <w:p>
            <w:r>
              <w:rPr>
                <w:rFonts w:ascii="Calibri" w:hAnsi="Calibri"/>
                <w:sz w:val="22"/>
              </w:rPr>
              <w:t>$24.97B</w:t>
            </w:r>
          </w:p>
        </w:tc>
        <w:tc>
          <w:tcPr>
            <w:tcW w:type="dxa" w:w="1234"/>
          </w:tcPr>
          <w:p>
            <w:r>
              <w:rPr>
                <w:rFonts w:ascii="Calibri" w:hAnsi="Calibri"/>
                <w:sz w:val="22"/>
              </w:rPr>
              <w:t>$26.3B</w:t>
            </w:r>
          </w:p>
        </w:tc>
        <w:tc>
          <w:tcPr>
            <w:tcW w:type="dxa" w:w="1234"/>
          </w:tcPr>
          <w:p>
            <w:r>
              <w:rPr>
                <w:rFonts w:ascii="Calibri" w:hAnsi="Calibri"/>
                <w:sz w:val="22"/>
              </w:rPr>
              <w:t>+5.5%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Reality Labs Op. Loss ($B)</w:t>
            </w:r>
          </w:p>
        </w:tc>
        <w:tc>
          <w:tcPr>
            <w:tcW w:type="dxa" w:w="1234"/>
          </w:tcPr>
          <w:p>
            <w:r>
              <w:rPr>
                <w:rFonts w:ascii="Calibri" w:hAnsi="Calibri"/>
                <w:sz w:val="22"/>
              </w:rPr>
              <w:t>($4.03B)</w:t>
            </w:r>
          </w:p>
        </w:tc>
        <w:tc>
          <w:tcPr>
            <w:tcW w:type="dxa" w:w="1234"/>
          </w:tcPr>
          <w:p>
            <w:r>
              <w:rPr>
                <w:rFonts w:ascii="Calibri" w:hAnsi="Calibri"/>
                <w:sz w:val="22"/>
              </w:rPr>
              <w:t>($4.53B)</w:t>
            </w:r>
          </w:p>
        </w:tc>
        <w:tc>
          <w:tcPr>
            <w:tcW w:type="dxa" w:w="1234"/>
          </w:tcPr>
          <w:p>
            <w:r>
              <w:rPr>
                <w:rFonts w:ascii="Calibri" w:hAnsi="Calibri"/>
                <w:sz w:val="22"/>
              </w:rPr>
              <w:t>($4.98B)</w:t>
            </w:r>
          </w:p>
        </w:tc>
        <w:tc>
          <w:tcPr>
            <w:tcW w:type="dxa" w:w="1234"/>
          </w:tcPr>
          <w:p>
            <w:r>
              <w:rPr>
                <w:rFonts w:ascii="Calibri" w:hAnsi="Calibri"/>
                <w:sz w:val="22"/>
              </w:rPr>
              <w:t>Wider YoY</w:t>
            </w:r>
          </w:p>
        </w:tc>
        <w:tc>
          <w:tcPr>
            <w:tcW w:type="dxa" w:w="1234"/>
          </w:tcPr>
          <w:p>
            <w:r>
              <w:rPr>
                <w:rFonts w:ascii="Calibri" w:hAnsi="Calibri"/>
                <w:sz w:val="22"/>
              </w:rPr>
              <w:t>~Similar to 2025 levels (FY)</w:t>
            </w:r>
          </w:p>
        </w:tc>
        <w:tc>
          <w:tcPr>
            <w:tcW w:type="dxa" w:w="1234"/>
          </w:tcPr>
          <w:p>
            <w:r>
              <w:rPr>
                <w:rFonts w:ascii="Calibri" w:hAnsi="Calibri"/>
                <w:sz w:val="22"/>
              </w:rPr>
              <w:t>N/A (FY guided only)</w:t>
            </w:r>
          </w:p>
        </w:tc>
      </w:tr>
      <w:tr>
        <w:tc>
          <w:tcPr>
            <w:tcW w:type="dxa" w:w="1234"/>
          </w:tcPr>
          <w:p>
            <w:r>
              <w:rPr>
                <w:rFonts w:ascii="Calibri" w:hAnsi="Calibri"/>
                <w:sz w:val="22"/>
              </w:rPr>
              <w:t>EPS — Diluted Operating ($)</w:t>
            </w:r>
          </w:p>
        </w:tc>
        <w:tc>
          <w:tcPr>
            <w:tcW w:type="dxa" w:w="1234"/>
          </w:tcPr>
          <w:p>
            <w:r>
              <w:rPr>
                <w:rFonts w:ascii="Calibri" w:hAnsi="Calibri"/>
                <w:sz w:val="22"/>
              </w:rPr>
              <w:t>$9.94 (actual; GAAP $10.44 incl. tax benefit)</w:t>
            </w:r>
          </w:p>
        </w:tc>
        <w:tc>
          <w:tcPr>
            <w:tcW w:type="dxa" w:w="1234"/>
          </w:tcPr>
          <w:p>
            <w:r>
              <w:rPr>
                <w:rFonts w:ascii="Calibri" w:hAnsi="Calibri"/>
                <w:sz w:val="22"/>
              </w:rPr>
              <w:t>$8.31</w:t>
            </w:r>
          </w:p>
        </w:tc>
        <w:tc>
          <w:tcPr>
            <w:tcW w:type="dxa" w:w="1234"/>
          </w:tcPr>
          <w:p>
            <w:r>
              <w:rPr>
                <w:rFonts w:ascii="Calibri" w:hAnsi="Calibri"/>
                <w:sz w:val="22"/>
              </w:rPr>
              <w:t>$8.70</w:t>
            </w:r>
          </w:p>
        </w:tc>
        <w:tc>
          <w:tcPr>
            <w:tcW w:type="dxa" w:w="1234"/>
          </w:tcPr>
          <w:p>
            <w:r>
              <w:rPr>
                <w:rFonts w:ascii="Calibri" w:hAnsi="Calibri"/>
                <w:sz w:val="22"/>
              </w:rPr>
              <w:t>+4.7%</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Total Ad Impressions (B)</w:t>
            </w:r>
          </w:p>
        </w:tc>
        <w:tc>
          <w:tcPr>
            <w:tcW w:type="dxa" w:w="1234"/>
          </w:tcPr>
          <w:p>
            <w:r>
              <w:rPr>
                <w:rFonts w:ascii="Calibri" w:hAnsi="Calibri"/>
                <w:sz w:val="22"/>
              </w:rPr>
              <w:t>~19,158B (19% YoY growth)</w:t>
            </w:r>
          </w:p>
        </w:tc>
        <w:tc>
          <w:tcPr>
            <w:tcW w:type="dxa" w:w="1234"/>
          </w:tcPr>
          <w:p>
            <w:r>
              <w:rPr>
                <w:rFonts w:ascii="Calibri" w:hAnsi="Calibri"/>
                <w:sz w:val="22"/>
              </w:rPr>
              <w:t>~17,648B</w:t>
            </w:r>
          </w:p>
        </w:tc>
        <w:tc>
          <w:tcPr>
            <w:tcW w:type="dxa" w:w="1234"/>
          </w:tcPr>
          <w:p>
            <w:r>
              <w:rPr>
                <w:rFonts w:ascii="Calibri" w:hAnsi="Calibri"/>
                <w:sz w:val="22"/>
              </w:rPr>
              <w:t>~20,227B</w:t>
            </w:r>
          </w:p>
        </w:tc>
        <w:tc>
          <w:tcPr>
            <w:tcW w:type="dxa" w:w="1234"/>
          </w:tcPr>
          <w:p>
            <w:r>
              <w:rPr>
                <w:rFonts w:ascii="Calibri" w:hAnsi="Calibri"/>
                <w:sz w:val="22"/>
              </w:rPr>
              <w:t>+14.6%</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Avg. Price Per Ad YoY Growth (%)</w:t>
            </w:r>
          </w:p>
        </w:tc>
        <w:tc>
          <w:tcPr>
            <w:tcW w:type="dxa" w:w="1234"/>
          </w:tcPr>
          <w:p>
            <w:r>
              <w:rPr>
                <w:rFonts w:ascii="Calibri" w:hAnsi="Calibri"/>
                <w:sz w:val="22"/>
              </w:rPr>
              <w:t>+12% YoY</w:t>
            </w:r>
          </w:p>
        </w:tc>
        <w:tc>
          <w:tcPr>
            <w:tcW w:type="dxa" w:w="1234"/>
          </w:tcPr>
          <w:p>
            <w:r>
              <w:rPr>
                <w:rFonts w:ascii="Calibri" w:hAnsi="Calibri"/>
                <w:sz w:val="22"/>
              </w:rPr>
              <w:t>+9% YoY</w:t>
            </w:r>
          </w:p>
        </w:tc>
        <w:tc>
          <w:tcPr>
            <w:tcW w:type="dxa" w:w="1234"/>
          </w:tcPr>
          <w:p>
            <w:r>
              <w:rPr>
                <w:rFonts w:ascii="Calibri" w:hAnsi="Calibri"/>
                <w:sz w:val="22"/>
              </w:rPr>
              <w:t>+12.7% YoY</w:t>
            </w:r>
          </w:p>
        </w:tc>
        <w:tc>
          <w:tcPr>
            <w:tcW w:type="dxa" w:w="1234"/>
          </w:tcPr>
          <w:p>
            <w:r>
              <w:rPr>
                <w:rFonts w:ascii="Calibri" w:hAnsi="Calibri"/>
                <w:sz w:val="22"/>
              </w:rPr>
              <w:t>~Stable</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DAP — Facebook Family (B users)</w:t>
            </w:r>
          </w:p>
        </w:tc>
        <w:tc>
          <w:tcPr>
            <w:tcW w:type="dxa" w:w="1234"/>
          </w:tcPr>
          <w:p>
            <w:r>
              <w:rPr>
                <w:rFonts w:ascii="Calibri" w:hAnsi="Calibri"/>
                <w:sz w:val="22"/>
              </w:rPr>
              <w:t>3.56B</w:t>
            </w:r>
          </w:p>
        </w:tc>
        <w:tc>
          <w:tcPr>
            <w:tcW w:type="dxa" w:w="1234"/>
          </w:tcPr>
          <w:p>
            <w:r>
              <w:rPr>
                <w:rFonts w:ascii="Calibri" w:hAnsi="Calibri"/>
                <w:sz w:val="22"/>
              </w:rPr>
              <w:t>3.48B</w:t>
            </w:r>
          </w:p>
        </w:tc>
        <w:tc>
          <w:tcPr>
            <w:tcW w:type="dxa" w:w="1234"/>
          </w:tcPr>
          <w:p>
            <w:r>
              <w:rPr>
                <w:rFonts w:ascii="Calibri" w:hAnsi="Calibri"/>
                <w:sz w:val="22"/>
              </w:rPr>
              <w:t>3.61B</w:t>
            </w:r>
          </w:p>
        </w:tc>
        <w:tc>
          <w:tcPr>
            <w:tcW w:type="dxa" w:w="1234"/>
          </w:tcPr>
          <w:p>
            <w:r>
              <w:rPr>
                <w:rFonts w:ascii="Calibri" w:hAnsi="Calibri"/>
                <w:sz w:val="22"/>
              </w:rPr>
              <w:t>+3.7%</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CapEx incl. Finance Leases ($B)</w:t>
            </w:r>
          </w:p>
        </w:tc>
        <w:tc>
          <w:tcPr>
            <w:tcW w:type="dxa" w:w="1234"/>
          </w:tcPr>
          <w:p>
            <w:r>
              <w:rPr>
                <w:rFonts w:ascii="Calibri" w:hAnsi="Calibri"/>
                <w:sz w:val="22"/>
              </w:rPr>
              <w:t>$19.8B</w:t>
            </w:r>
          </w:p>
        </w:tc>
        <w:tc>
          <w:tcPr>
            <w:tcW w:type="dxa" w:w="1234"/>
          </w:tcPr>
          <w:p>
            <w:r>
              <w:rPr>
                <w:rFonts w:ascii="Calibri" w:hAnsi="Calibri"/>
                <w:sz w:val="22"/>
              </w:rPr>
              <w:t>$17.0B</w:t>
            </w:r>
          </w:p>
        </w:tc>
        <w:tc>
          <w:tcPr>
            <w:tcW w:type="dxa" w:w="1234"/>
          </w:tcPr>
          <w:p>
            <w:r>
              <w:rPr>
                <w:rFonts w:ascii="Calibri" w:hAnsi="Calibri"/>
                <w:sz w:val="22"/>
              </w:rPr>
              <w:t>$33.3B</w:t>
            </w:r>
          </w:p>
        </w:tc>
        <w:tc>
          <w:tcPr>
            <w:tcW w:type="dxa" w:w="1234"/>
          </w:tcPr>
          <w:p>
            <w:r>
              <w:rPr>
                <w:rFonts w:ascii="Calibri" w:hAnsi="Calibri"/>
                <w:sz w:val="22"/>
              </w:rPr>
              <w:t>+95.6%</w:t>
            </w:r>
          </w:p>
        </w:tc>
        <w:tc>
          <w:tcPr>
            <w:tcW w:type="dxa" w:w="1234"/>
          </w:tcPr>
          <w:p>
            <w:r>
              <w:rPr>
                <w:rFonts w:ascii="Calibri" w:hAnsi="Calibri"/>
                <w:sz w:val="22"/>
              </w:rPr>
              <w:t>FY26: $125–$145B</w:t>
            </w:r>
          </w:p>
        </w:tc>
        <w:tc>
          <w:tcPr>
            <w:tcW w:type="dxa" w:w="1234"/>
          </w:tcPr>
          <w:p>
            <w:r>
              <w:rPr>
                <w:rFonts w:ascii="Calibri" w:hAnsi="Calibri"/>
                <w:sz w:val="22"/>
              </w:rPr>
              <w:t>N/A (FY guided only)</w:t>
            </w:r>
          </w:p>
        </w:tc>
      </w:tr>
    </w:tbl>
    <w:p>
      <w:r>
        <w:rPr>
          <w:rFonts w:ascii="Calibri" w:hAnsi="Calibri"/>
          <w:i/>
          <w:color w:val="525866"/>
          <w:sz w:val="22"/>
        </w:rPr>
        <w:t>Source: Visible Alpha Consensus and Actuals Data. All consensus figures as of July 28, 2026. Operating EPS prioritized over GAAP EPS per skill guidelines. Q1 2026 GAAP EPS of $10.44 included a large one-time tax benefit; operating EPS of $9.94 is the cleaner comparable.</w:t>
      </w:r>
    </w:p>
    <w:p>
      <w:pPr>
        <w:pStyle w:val="Heading3"/>
      </w:pPr>
      <w:r>
        <w:rPr>
          <w:rFonts w:ascii="Calibri" w:hAnsi="Calibri"/>
          <w:b/>
          <w:color w:val="3B4259"/>
          <w:sz w:val="24"/>
        </w:rPr>
        <w:t>Table 2 — Beat/Miss History (Last 8 Quarters)</w:t>
      </w:r>
    </w:p>
    <w:p>
      <w:r>
        <w:rPr>
          <w:rFonts w:ascii="Calibri" w:hAnsi="Calibri"/>
          <w:b/>
          <w:color w:val="525866"/>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$56.31B</w:t>
            </w:r>
          </w:p>
        </w:tc>
        <w:tc>
          <w:tcPr>
            <w:tcW w:type="dxa" w:w="1728"/>
          </w:tcPr>
          <w:p>
            <w:r>
              <w:rPr>
                <w:rFonts w:ascii="Calibri" w:hAnsi="Calibri"/>
                <w:sz w:val="22"/>
              </w:rPr>
              <w:t>$55.55B</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$59.89B</w:t>
            </w:r>
          </w:p>
        </w:tc>
        <w:tc>
          <w:tcPr>
            <w:tcW w:type="dxa" w:w="1728"/>
          </w:tcPr>
          <w:p>
            <w:r>
              <w:rPr>
                <w:rFonts w:ascii="Calibri" w:hAnsi="Calibri"/>
                <w:sz w:val="22"/>
              </w:rPr>
              <w:t>$58.45B</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$51.24B</w:t>
            </w:r>
          </w:p>
        </w:tc>
        <w:tc>
          <w:tcPr>
            <w:tcW w:type="dxa" w:w="1728"/>
          </w:tcPr>
          <w:p>
            <w:r>
              <w:rPr>
                <w:rFonts w:ascii="Calibri" w:hAnsi="Calibri"/>
                <w:sz w:val="22"/>
              </w:rPr>
              <w:t>$49.59B</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$47.52B</w:t>
            </w:r>
          </w:p>
        </w:tc>
        <w:tc>
          <w:tcPr>
            <w:tcW w:type="dxa" w:w="1728"/>
          </w:tcPr>
          <w:p>
            <w:r>
              <w:rPr>
                <w:rFonts w:ascii="Calibri" w:hAnsi="Calibri"/>
                <w:sz w:val="22"/>
              </w:rPr>
              <w:t>$44.83B</w:t>
            </w:r>
          </w:p>
        </w:tc>
        <w:tc>
          <w:tcPr>
            <w:tcW w:type="dxa" w:w="1728"/>
          </w:tcPr>
          <w:p>
            <w:r>
              <w:rPr>
                <w:rFonts w:ascii="Calibri" w:hAnsi="Calibri"/>
                <w:b/>
                <w:color w:val="30A46C"/>
                <w:sz w:val="22"/>
              </w:rPr>
              <w:t>+6.0%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$42.31B</w:t>
            </w:r>
          </w:p>
        </w:tc>
        <w:tc>
          <w:tcPr>
            <w:tcW w:type="dxa" w:w="1728"/>
          </w:tcPr>
          <w:p>
            <w:r>
              <w:rPr>
                <w:rFonts w:ascii="Calibri" w:hAnsi="Calibri"/>
                <w:sz w:val="22"/>
              </w:rPr>
              <w:t>$41.35B</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$48.39B</w:t>
            </w:r>
          </w:p>
        </w:tc>
        <w:tc>
          <w:tcPr>
            <w:tcW w:type="dxa" w:w="1728"/>
          </w:tcPr>
          <w:p>
            <w:r>
              <w:rPr>
                <w:rFonts w:ascii="Calibri" w:hAnsi="Calibri"/>
                <w:sz w:val="22"/>
              </w:rPr>
              <w:t>$47.04B</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$40.59B</w:t>
            </w:r>
          </w:p>
        </w:tc>
        <w:tc>
          <w:tcPr>
            <w:tcW w:type="dxa" w:w="1728"/>
          </w:tcPr>
          <w:p>
            <w:r>
              <w:rPr>
                <w:rFonts w:ascii="Calibri" w:hAnsi="Calibri"/>
                <w:sz w:val="22"/>
              </w:rPr>
              <w:t>$40.27B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$39.07B</w:t>
            </w:r>
          </w:p>
        </w:tc>
        <w:tc>
          <w:tcPr>
            <w:tcW w:type="dxa" w:w="1728"/>
          </w:tcPr>
          <w:p>
            <w:r>
              <w:rPr>
                <w:rFonts w:ascii="Calibri" w:hAnsi="Calibri"/>
                <w:sz w:val="22"/>
              </w:rPr>
              <w:t>$38.37B</w:t>
            </w:r>
          </w:p>
        </w:tc>
        <w:tc>
          <w:tcPr>
            <w:tcW w:type="dxa" w:w="1728"/>
          </w:tcPr>
          <w:p>
            <w:r>
              <w:rPr>
                <w:rFonts w:ascii="Calibri" w:hAnsi="Calibri"/>
                <w:b/>
                <w:color w:val="30A46C"/>
                <w:sz w:val="22"/>
              </w:rPr>
              <w:t>+1.8%</w:t>
            </w:r>
          </w:p>
        </w:tc>
        <w:tc>
          <w:tcPr>
            <w:tcW w:type="dxa" w:w="1728"/>
          </w:tcPr>
          <w:p>
            <w:r>
              <w:rPr>
                <w:rFonts w:ascii="Calibri" w:hAnsi="Calibri"/>
                <w:sz w:val="22"/>
              </w:rPr>
              <w:t>Beat</w:t>
            </w:r>
          </w:p>
        </w:tc>
      </w:tr>
    </w:tbl>
    <w:p>
      <w:r>
        <w:rPr>
          <w:rFonts w:ascii="Calibri" w:hAnsi="Calibri"/>
          <w:b/>
          <w:color w:val="525866"/>
          <w:sz w:val="22"/>
        </w:rPr>
        <w:t>Top KPI #2: Total Ad Impressions YoY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Growth</w:t>
            </w:r>
          </w:p>
        </w:tc>
        <w:tc>
          <w:tcPr>
            <w:tcW w:type="dxa" w:w="1728"/>
            <w:shd w:val="clear" w:color="auto" w:fill="3B4259"/>
          </w:tcPr>
          <w:p>
            <w:r>
              <w:rPr>
                <w:rFonts w:ascii="Calibri" w:hAnsi="Calibri"/>
                <w:b/>
                <w:color w:val="FFFFFF"/>
                <w:sz w:val="22"/>
              </w:rPr>
              <w:t>Consensus Growth</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 YoY</w:t>
            </w:r>
          </w:p>
        </w:tc>
        <w:tc>
          <w:tcPr>
            <w:tcW w:type="dxa" w:w="1728"/>
          </w:tcPr>
          <w:p>
            <w:r>
              <w:rPr>
                <w:rFonts w:ascii="Calibri" w:hAnsi="Calibri"/>
                <w:sz w:val="22"/>
              </w:rPr>
              <w:t>~N/A (no Q1 as-of cons.)</w:t>
            </w:r>
          </w:p>
        </w:tc>
        <w:tc>
          <w:tcPr>
            <w:tcW w:type="dxa" w:w="1728"/>
          </w:tcPr>
          <w:p>
            <w:r>
              <w:rPr>
                <w:rFonts w:ascii="Calibri" w:hAnsi="Calibri"/>
                <w:sz w:val="22"/>
              </w:rPr>
              <w:t>N/A</w:t>
            </w:r>
          </w:p>
        </w:tc>
        <w:tc>
          <w:tcPr>
            <w:tcW w:type="dxa" w:w="1728"/>
          </w:tcPr>
          <w:p>
            <w:r>
              <w:rPr>
                <w:rFonts w:ascii="Calibri" w:hAnsi="Calibri"/>
                <w:sz w:val="22"/>
              </w:rPr>
              <w:t>Strong</w:t>
            </w:r>
          </w:p>
        </w:tc>
      </w:tr>
      <w:tr>
        <w:tc>
          <w:tcPr>
            <w:tcW w:type="dxa" w:w="1728"/>
          </w:tcPr>
          <w:p>
            <w:r>
              <w:rPr>
                <w:rFonts w:ascii="Calibri" w:hAnsi="Calibri"/>
                <w:sz w:val="22"/>
              </w:rPr>
              <w:t>Q4 2025</w:t>
            </w:r>
          </w:p>
        </w:tc>
        <w:tc>
          <w:tcPr>
            <w:tcW w:type="dxa" w:w="1728"/>
          </w:tcPr>
          <w:p>
            <w:r>
              <w:rPr>
                <w:rFonts w:ascii="Calibri" w:hAnsi="Calibri"/>
                <w:sz w:val="22"/>
              </w:rPr>
              <w:t>~+6% YoY (est.)</w:t>
            </w:r>
          </w:p>
        </w:tc>
        <w:tc>
          <w:tcPr>
            <w:tcW w:type="dxa" w:w="1728"/>
          </w:tcPr>
          <w:p>
            <w:r>
              <w:rPr>
                <w:rFonts w:ascii="Calibri" w:hAnsi="Calibri"/>
                <w:sz w:val="22"/>
              </w:rPr>
              <w:t>~+8.7% cons.</w:t>
            </w:r>
          </w:p>
        </w:tc>
        <w:tc>
          <w:tcPr>
            <w:tcW w:type="dxa" w:w="1728"/>
          </w:tcPr>
          <w:p>
            <w:r>
              <w:rPr>
                <w:rFonts w:ascii="Calibri" w:hAnsi="Calibri"/>
                <w:b/>
                <w:color w:val="E5484D"/>
                <w:sz w:val="22"/>
              </w:rPr>
              <w:t>~-2.7pp</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+10% YoY</w:t>
            </w:r>
          </w:p>
        </w:tc>
        <w:tc>
          <w:tcPr>
            <w:tcW w:type="dxa" w:w="1728"/>
          </w:tcPr>
          <w:p>
            <w:r>
              <w:rPr>
                <w:rFonts w:ascii="Calibri" w:hAnsi="Calibri"/>
                <w:sz w:val="22"/>
              </w:rPr>
              <w:t>+11.7% cons.</w:t>
            </w:r>
          </w:p>
        </w:tc>
        <w:tc>
          <w:tcPr>
            <w:tcW w:type="dxa" w:w="1728"/>
          </w:tcPr>
          <w:p>
            <w:r>
              <w:rPr>
                <w:rFonts w:ascii="Calibri" w:hAnsi="Calibri"/>
                <w:b/>
                <w:color w:val="E5484D"/>
                <w:sz w:val="22"/>
              </w:rPr>
              <w:t>-1.7pp</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+9% YoY</w:t>
            </w:r>
          </w:p>
        </w:tc>
        <w:tc>
          <w:tcPr>
            <w:tcW w:type="dxa" w:w="1728"/>
          </w:tcPr>
          <w:p>
            <w:r>
              <w:rPr>
                <w:rFonts w:ascii="Calibri" w:hAnsi="Calibri"/>
                <w:sz w:val="22"/>
              </w:rPr>
              <w:t>~+8.5% cons.</w:t>
            </w:r>
          </w:p>
        </w:tc>
        <w:tc>
          <w:tcPr>
            <w:tcW w:type="dxa" w:w="1728"/>
          </w:tcPr>
          <w:p>
            <w:r>
              <w:rPr>
                <w:rFonts w:ascii="Calibri" w:hAnsi="Calibri"/>
                <w:b/>
                <w:color w:val="30A46C"/>
                <w:sz w:val="22"/>
              </w:rPr>
              <w:t>+0.5pp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+10% YoY</w:t>
            </w:r>
          </w:p>
        </w:tc>
        <w:tc>
          <w:tcPr>
            <w:tcW w:type="dxa" w:w="1728"/>
          </w:tcPr>
          <w:p>
            <w:r>
              <w:rPr>
                <w:rFonts w:ascii="Calibri" w:hAnsi="Calibri"/>
                <w:sz w:val="22"/>
              </w:rPr>
              <w:t>~+6.2% cons.</w:t>
            </w:r>
          </w:p>
        </w:tc>
        <w:tc>
          <w:tcPr>
            <w:tcW w:type="dxa" w:w="1728"/>
          </w:tcPr>
          <w:p>
            <w:r>
              <w:rPr>
                <w:rFonts w:ascii="Calibri" w:hAnsi="Calibri"/>
                <w:b/>
                <w:color w:val="30A46C"/>
                <w:sz w:val="22"/>
              </w:rPr>
              <w:t>+3.8pp</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 YoY</w:t>
            </w:r>
          </w:p>
        </w:tc>
        <w:tc>
          <w:tcPr>
            <w:tcW w:type="dxa" w:w="1728"/>
          </w:tcPr>
          <w:p>
            <w:r>
              <w:rPr>
                <w:rFonts w:ascii="Calibri" w:hAnsi="Calibri"/>
                <w:sz w:val="22"/>
              </w:rPr>
              <w:t>~+6.8% cons.</w:t>
            </w:r>
          </w:p>
        </w:tc>
        <w:tc>
          <w:tcPr>
            <w:tcW w:type="dxa" w:w="1728"/>
          </w:tcPr>
          <w:p>
            <w:r>
              <w:rPr>
                <w:rFonts w:ascii="Calibri" w:hAnsi="Calibri"/>
                <w:b/>
                <w:color w:val="30A46C"/>
                <w:sz w:val="22"/>
              </w:rPr>
              <w:t>+7.2pp</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+11% YoY</w:t>
            </w:r>
          </w:p>
        </w:tc>
        <w:tc>
          <w:tcPr>
            <w:tcW w:type="dxa" w:w="1728"/>
          </w:tcPr>
          <w:p>
            <w:r>
              <w:rPr>
                <w:rFonts w:ascii="Calibri" w:hAnsi="Calibri"/>
                <w:sz w:val="22"/>
              </w:rPr>
              <w:t>~+7.0% cons.</w:t>
            </w:r>
          </w:p>
        </w:tc>
        <w:tc>
          <w:tcPr>
            <w:tcW w:type="dxa" w:w="1728"/>
          </w:tcPr>
          <w:p>
            <w:r>
              <w:rPr>
                <w:rFonts w:ascii="Calibri" w:hAnsi="Calibri"/>
                <w:b/>
                <w:color w:val="30A46C"/>
                <w:sz w:val="22"/>
              </w:rPr>
              <w:t>+4.0pp</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+10% YoY</w:t>
            </w:r>
          </w:p>
        </w:tc>
        <w:tc>
          <w:tcPr>
            <w:tcW w:type="dxa" w:w="1728"/>
          </w:tcPr>
          <w:p>
            <w:r>
              <w:rPr>
                <w:rFonts w:ascii="Calibri" w:hAnsi="Calibri"/>
                <w:sz w:val="22"/>
              </w:rPr>
              <w:t>~+6.0% cons.</w:t>
            </w:r>
          </w:p>
        </w:tc>
        <w:tc>
          <w:tcPr>
            <w:tcW w:type="dxa" w:w="1728"/>
          </w:tcPr>
          <w:p>
            <w:r>
              <w:rPr>
                <w:rFonts w:ascii="Calibri" w:hAnsi="Calibri"/>
                <w:b/>
                <w:color w:val="30A46C"/>
                <w:sz w:val="22"/>
              </w:rPr>
              <w:t>+4.0pp</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META has beaten revenue consensus in all 8 of the last 8 quarters, with surprise magnitude ranging from +0.8% to +6.0% — a remarkably consistent track record. On ad impressions growth, the company has beaten the Street's (often conservative) estimates in 6 of 8 quarters, though Q3 and Q4 2025 saw modest misses as impression growth moderated from peak levels. The Q2 2026 consensus of ~+14.6% YoY impressions growth is a step-up from Q1's 19% reported figure on a harder comp, suggesting the bar is calibrated but not aggressive.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Revenue guidance is unchanged since the Q1 call ($58–$61B for Q2), but the capex range was raised meaningfully at Q1 earnings and has not been revised since — the tone on infrastructure spending has shifted from confident to locked-in, with $107B in new contractual commitments making the trajectory increasingly irreversible.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$58B – $61B (mid: $59.5B); assumes ~2% FX tailwind</w:t>
            </w:r>
          </w:p>
        </w:tc>
        <w:tc>
          <w:tcPr>
            <w:tcW w:type="dxa" w:w="1728"/>
          </w:tcPr>
          <w:p>
            <w:r>
              <w:rPr>
                <w:rFonts w:ascii="Calibri" w:hAnsi="Calibri"/>
                <w:sz w:val="22"/>
              </w:rPr>
              <w:t>—</w:t>
            </w:r>
          </w:p>
        </w:tc>
        <w:tc>
          <w:tcPr>
            <w:tcW w:type="dxa" w:w="1728"/>
          </w:tcPr>
          <w:p>
            <w:r>
              <w:rPr>
                <w:rFonts w:ascii="Calibri" w:hAnsi="Calibri"/>
                <w:sz w:val="22"/>
              </w:rPr>
              <w:t>$60.2B</w:t>
            </w:r>
          </w:p>
        </w:tc>
        <w:tc>
          <w:tcPr>
            <w:tcW w:type="dxa" w:w="1728"/>
          </w:tcPr>
          <w:p>
            <w:r>
              <w:rPr>
                <w:rFonts w:ascii="Calibri" w:hAnsi="Calibri"/>
                <w:sz w:val="22"/>
              </w:rPr>
              <w:t>No post-earnings revision; consensus sits +1.2% above midpoint, within range</w:t>
            </w:r>
          </w:p>
        </w:tc>
      </w:tr>
      <w:tr>
        <w:tc>
          <w:tcPr>
            <w:tcW w:type="dxa" w:w="1728"/>
          </w:tcPr>
          <w:p>
            <w:r>
              <w:rPr>
                <w:rFonts w:ascii="Calibri" w:hAnsi="Calibri"/>
                <w:sz w:val="22"/>
              </w:rPr>
              <w:t>FY 2026 Total Expenses</w:t>
            </w:r>
          </w:p>
        </w:tc>
        <w:tc>
          <w:tcPr>
            <w:tcW w:type="dxa" w:w="1728"/>
          </w:tcPr>
          <w:p>
            <w:r>
              <w:rPr>
                <w:rFonts w:ascii="Calibri" w:hAnsi="Calibri"/>
                <w:sz w:val="22"/>
              </w:rPr>
              <w:t>$162B – $169B (unchanged from prior outlook)</w:t>
            </w:r>
          </w:p>
        </w:tc>
        <w:tc>
          <w:tcPr>
            <w:tcW w:type="dxa" w:w="1728"/>
          </w:tcPr>
          <w:p>
            <w:r>
              <w:rPr>
                <w:rFonts w:ascii="Calibri" w:hAnsi="Calibri"/>
                <w:sz w:val="22"/>
              </w:rPr>
              <w:t>—</w:t>
            </w:r>
          </w:p>
        </w:tc>
        <w:tc>
          <w:tcPr>
            <w:tcW w:type="dxa" w:w="1728"/>
          </w:tcPr>
          <w:p>
            <w:r>
              <w:rPr>
                <w:rFonts w:ascii="Calibri" w:hAnsi="Calibri"/>
                <w:sz w:val="22"/>
              </w:rPr>
              <w:t>N/A (not tracked separately in VA)</w:t>
            </w:r>
          </w:p>
        </w:tc>
        <w:tc>
          <w:tcPr>
            <w:tcW w:type="dxa" w:w="1728"/>
          </w:tcPr>
          <w:p>
            <w:r>
              <w:rPr>
                <w:rFonts w:ascii="Calibri" w:hAnsi="Calibri"/>
                <w:sz w:val="22"/>
              </w:rPr>
              <w:t>Held flat despite capex raise; management committed to operating income above FY25 levels</w:t>
            </w:r>
          </w:p>
        </w:tc>
      </w:tr>
      <w:tr>
        <w:tc>
          <w:tcPr>
            <w:tcW w:type="dxa" w:w="1728"/>
          </w:tcPr>
          <w:p>
            <w:r>
              <w:rPr>
                <w:rFonts w:ascii="Calibri" w:hAnsi="Calibri"/>
                <w:sz w:val="22"/>
              </w:rPr>
              <w:t>FY 2026 CapEx (incl. finance leases)</w:t>
            </w:r>
          </w:p>
        </w:tc>
        <w:tc>
          <w:tcPr>
            <w:tcW w:type="dxa" w:w="1728"/>
          </w:tcPr>
          <w:p>
            <w:r>
              <w:rPr>
                <w:rFonts w:ascii="Calibri" w:hAnsi="Calibri"/>
                <w:sz w:val="22"/>
              </w:rPr>
              <w:t>$125B – $145B (raised from prior $115B–$135B at Q1 call)</w:t>
            </w:r>
          </w:p>
        </w:tc>
        <w:tc>
          <w:tcPr>
            <w:tcW w:type="dxa" w:w="1728"/>
          </w:tcPr>
          <w:p>
            <w:r>
              <w:rPr>
                <w:rFonts w:ascii="Calibri" w:hAnsi="Calibri"/>
                <w:sz w:val="22"/>
              </w:rPr>
              <w:t>—</w:t>
            </w:r>
          </w:p>
        </w:tc>
        <w:tc>
          <w:tcPr>
            <w:tcW w:type="dxa" w:w="1728"/>
          </w:tcPr>
          <w:p>
            <w:r>
              <w:rPr>
                <w:rFonts w:ascii="Calibri" w:hAnsi="Calibri"/>
                <w:sz w:val="22"/>
              </w:rPr>
              <w:t>$139.4B</w:t>
            </w:r>
          </w:p>
        </w:tc>
        <w:tc>
          <w:tcPr>
            <w:tcW w:type="dxa" w:w="1728"/>
          </w:tcPr>
          <w:p>
            <w:r>
              <w:rPr>
                <w:rFonts w:ascii="Calibri" w:hAnsi="Calibri"/>
                <w:sz w:val="22"/>
              </w:rPr>
              <w:t>↑ Raised at Q1 earnings Apr. 29; driven by higher memory pricing and additional data center costs; $107B step-up in contractual commitments; tone: spending trajectory increasingly locked in</w:t>
            </w:r>
          </w:p>
        </w:tc>
      </w:tr>
      <w:tr>
        <w:tc>
          <w:tcPr>
            <w:tcW w:type="dxa" w:w="1728"/>
          </w:tcPr>
          <w:p>
            <w:r>
              <w:rPr>
                <w:rFonts w:ascii="Calibri" w:hAnsi="Calibri"/>
                <w:sz w:val="22"/>
              </w:rPr>
              <w:t>FY 2026 Operating Income</w:t>
            </w:r>
          </w:p>
        </w:tc>
        <w:tc>
          <w:tcPr>
            <w:tcW w:type="dxa" w:w="1728"/>
          </w:tcPr>
          <w:p>
            <w:r>
              <w:rPr>
                <w:rFonts w:ascii="Calibri" w:hAnsi="Calibri"/>
                <w:sz w:val="22"/>
              </w:rPr>
              <w:t>Above FY 2025 operating income (qualitative)</w:t>
            </w:r>
          </w:p>
        </w:tc>
        <w:tc>
          <w:tcPr>
            <w:tcW w:type="dxa" w:w="1728"/>
          </w:tcPr>
          <w:p>
            <w:r>
              <w:rPr>
                <w:rFonts w:ascii="Calibri" w:hAnsi="Calibri"/>
                <w:sz w:val="22"/>
              </w:rPr>
              <w:t>—</w:t>
            </w:r>
          </w:p>
        </w:tc>
        <w:tc>
          <w:tcPr>
            <w:tcW w:type="dxa" w:w="1728"/>
          </w:tcPr>
          <w:p>
            <w:r>
              <w:rPr>
                <w:rFonts w:ascii="Calibri" w:hAnsi="Calibri"/>
                <w:sz w:val="22"/>
              </w:rPr>
              <w:t>$90.6B</w:t>
            </w:r>
          </w:p>
        </w:tc>
        <w:tc>
          <w:tcPr>
            <w:tcW w:type="dxa" w:w="1728"/>
          </w:tcPr>
          <w:p>
            <w:r>
              <w:rPr>
                <w:rFonts w:ascii="Calibri" w:hAnsi="Calibri"/>
                <w:sz w:val="22"/>
              </w:rPr>
              <w:t>No revision; FY25 operating income was ~$69.4B; consensus implies meaningful YoY growth</w:t>
            </w:r>
          </w:p>
        </w:tc>
      </w:tr>
      <w:tr>
        <w:tc>
          <w:tcPr>
            <w:tcW w:type="dxa" w:w="1728"/>
          </w:tcPr>
          <w:p>
            <w:r>
              <w:rPr>
                <w:rFonts w:ascii="Calibri" w:hAnsi="Calibri"/>
                <w:sz w:val="22"/>
              </w:rPr>
              <w:t>FY 2026 Tax Rate (remaining quarters)</w:t>
            </w:r>
          </w:p>
        </w:tc>
        <w:tc>
          <w:tcPr>
            <w:tcW w:type="dxa" w:w="1728"/>
          </w:tcPr>
          <w:p>
            <w:r>
              <w:rPr>
                <w:rFonts w:ascii="Calibri" w:hAnsi="Calibri"/>
                <w:sz w:val="22"/>
              </w:rPr>
              <w:t>13% – 16% (absent tax landscape changes)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GAAP EPS was distorted by large one-time R&amp;D capitalization tax benefit; normalized rate applies Q2 onward</w:t>
            </w:r>
          </w:p>
        </w:tc>
      </w:tr>
      <w:tr>
        <w:tc>
          <w:tcPr>
            <w:tcW w:type="dxa" w:w="1728"/>
          </w:tcPr>
          <w:p>
            <w:r>
              <w:rPr>
                <w:rFonts w:ascii="Calibri" w:hAnsi="Calibri"/>
                <w:sz w:val="22"/>
              </w:rPr>
              <w:t>Headcount</w:t>
            </w:r>
          </w:p>
        </w:tc>
        <w:tc>
          <w:tcPr>
            <w:tcW w:type="dxa" w:w="1728"/>
          </w:tcPr>
          <w:p>
            <w:r>
              <w:rPr>
                <w:rFonts w:ascii="Calibri" w:hAnsi="Calibri"/>
                <w:sz w:val="22"/>
              </w:rPr>
              <w:t>Planned reduction in May 2026; leaner operating model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ended with 77,900 employees (-1% QoQ); May reduction expected to show in Q2 headcount; framed as efficiency offset to infrastructure spend</w:t>
            </w:r>
          </w:p>
        </w:tc>
      </w:tr>
    </w:tbl>
    <w:p>
      <w:r>
        <w:rPr>
          <w:rFonts w:ascii="Calibri" w:hAnsi="Calibri"/>
          <w:color w:val="525866"/>
          <w:sz w:val="22"/>
        </w:rPr>
        <w:t>The most important post-Q1 development on guidance is the absence of any revision — management has not issued any 8-K, conference update, or pre-announcement since April 29. This silence is itself a signal: the revenue trajectory appears on track, and the capex range ($125–145B) remains the operative framework. The key question for Q2 is whether management will provide any incremental color on memory pricing trends (which drove the Q1 raise) and whether the Broadcom custom silicon ramp is delivering the efficiency gains that were promised.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moved only +$0.9B (+1.5%) and FY26 revenue barely budged (+$0.3B) — suggesting the Street has largely digested the capex shock and is not aggressively revising either direction; the gap between consensus and guidance midpoint is thin, leaving the print as the primary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6, 2026 —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2026</w:t>
            </w:r>
          </w:p>
        </w:tc>
        <w:tc>
          <w:tcPr>
            <w:tcW w:type="dxa" w:w="1080"/>
          </w:tcPr>
          <w:p>
            <w:r>
              <w:rPr>
                <w:rFonts w:ascii="Calibri" w:hAnsi="Calibri"/>
                <w:sz w:val="22"/>
              </w:rPr>
              <w:t>$60.1B</w:t>
            </w:r>
          </w:p>
        </w:tc>
        <w:tc>
          <w:tcPr>
            <w:tcW w:type="dxa" w:w="1080"/>
          </w:tcPr>
          <w:p>
            <w:r>
              <w:rPr>
                <w:rFonts w:ascii="Calibri" w:hAnsi="Calibri"/>
                <w:sz w:val="22"/>
              </w:rPr>
              <w:t>$60.2B</w:t>
            </w:r>
          </w:p>
        </w:tc>
        <w:tc>
          <w:tcPr>
            <w:tcW w:type="dxa" w:w="1080"/>
          </w:tcPr>
          <w:p>
            <w:r>
              <w:rPr>
                <w:rFonts w:ascii="Calibri" w:hAnsi="Calibri"/>
                <w:sz w:val="22"/>
              </w:rPr>
              <w:t>+0.2%</w:t>
            </w:r>
          </w:p>
        </w:tc>
        <w:tc>
          <w:tcPr>
            <w:tcW w:type="dxa" w:w="1080"/>
          </w:tcPr>
          <w:p>
            <w:r>
              <w:rPr>
                <w:rFonts w:ascii="Calibri" w:hAnsi="Calibri"/>
                <w:sz w:val="22"/>
              </w:rPr>
              <w:t>$58–$61B (mid: $59.5B)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w:t>
            </w:r>
          </w:p>
        </w:tc>
      </w:tr>
      <w:tr>
        <w:tc>
          <w:tcPr>
            <w:tcW w:type="dxa" w:w="1080"/>
          </w:tcPr>
          <w:p>
            <w:r>
              <w:rPr>
                <w:rFonts w:ascii="Calibri" w:hAnsi="Calibri"/>
                <w:sz w:val="22"/>
              </w:rPr>
              <w:t>Revenue — FY 2026</w:t>
            </w:r>
          </w:p>
        </w:tc>
        <w:tc>
          <w:tcPr>
            <w:tcW w:type="dxa" w:w="1080"/>
          </w:tcPr>
          <w:p>
            <w:r>
              <w:rPr>
                <w:rFonts w:ascii="Calibri" w:hAnsi="Calibri"/>
                <w:sz w:val="22"/>
              </w:rPr>
              <w:t>$252.7B</w:t>
            </w:r>
          </w:p>
        </w:tc>
        <w:tc>
          <w:tcPr>
            <w:tcW w:type="dxa" w:w="1080"/>
          </w:tcPr>
          <w:p>
            <w:r>
              <w:rPr>
                <w:rFonts w:ascii="Calibri" w:hAnsi="Calibri"/>
                <w:sz w:val="22"/>
              </w:rPr>
              <w:t>$253.0B</w:t>
            </w:r>
          </w:p>
        </w:tc>
        <w:tc>
          <w:tcPr>
            <w:tcW w:type="dxa" w:w="1080"/>
          </w:tcPr>
          <w:p>
            <w:r>
              <w:rPr>
                <w:rFonts w:ascii="Calibri" w:hAnsi="Calibri"/>
                <w:sz w:val="22"/>
              </w:rPr>
              <w:t>+0.1%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Q2 2026</w:t>
            </w:r>
          </w:p>
        </w:tc>
        <w:tc>
          <w:tcPr>
            <w:tcW w:type="dxa" w:w="1080"/>
          </w:tcPr>
          <w:p>
            <w:r>
              <w:rPr>
                <w:rFonts w:ascii="Calibri" w:hAnsi="Calibri"/>
                <w:sz w:val="22"/>
              </w:rPr>
              <w:t>$9.07</w:t>
            </w:r>
          </w:p>
        </w:tc>
        <w:tc>
          <w:tcPr>
            <w:tcW w:type="dxa" w:w="1080"/>
          </w:tcPr>
          <w:p>
            <w:r>
              <w:rPr>
                <w:rFonts w:ascii="Calibri" w:hAnsi="Calibri"/>
                <w:sz w:val="22"/>
              </w:rPr>
              <w:t>$8.70</w:t>
            </w:r>
          </w:p>
        </w:tc>
        <w:tc>
          <w:tcPr>
            <w:tcW w:type="dxa" w:w="1080"/>
          </w:tcPr>
          <w:p>
            <w:r>
              <w:rPr>
                <w:rFonts w:ascii="Calibri" w:hAnsi="Calibri"/>
                <w:b/>
                <w:color w:val="E5484D"/>
                <w:sz w:val="22"/>
              </w:rPr>
              <w:t>-4.1%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$39.53</w:t>
            </w:r>
          </w:p>
        </w:tc>
        <w:tc>
          <w:tcPr>
            <w:tcW w:type="dxa" w:w="1080"/>
          </w:tcPr>
          <w:p>
            <w:r>
              <w:rPr>
                <w:rFonts w:ascii="Calibri" w:hAnsi="Calibri"/>
                <w:sz w:val="22"/>
              </w:rPr>
              <w:t>$38.09</w:t>
            </w:r>
          </w:p>
        </w:tc>
        <w:tc>
          <w:tcPr>
            <w:tcW w:type="dxa" w:w="1080"/>
          </w:tcPr>
          <w:p>
            <w:r>
              <w:rPr>
                <w:rFonts w:ascii="Calibri" w:hAnsi="Calibri"/>
                <w:b/>
                <w:color w:val="E5484D"/>
                <w:sz w:val="22"/>
              </w:rPr>
              <w:t>-3.6%</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Q2 2026</w:t>
            </w:r>
          </w:p>
        </w:tc>
        <w:tc>
          <w:tcPr>
            <w:tcW w:type="dxa" w:w="1080"/>
          </w:tcPr>
          <w:p>
            <w:r>
              <w:rPr>
                <w:rFonts w:ascii="Calibri" w:hAnsi="Calibri"/>
                <w:sz w:val="22"/>
              </w:rPr>
              <w:t>$21.4B</w:t>
            </w:r>
          </w:p>
        </w:tc>
        <w:tc>
          <w:tcPr>
            <w:tcW w:type="dxa" w:w="1080"/>
          </w:tcPr>
          <w:p>
            <w:r>
              <w:rPr>
                <w:rFonts w:ascii="Calibri" w:hAnsi="Calibri"/>
                <w:sz w:val="22"/>
              </w:rPr>
              <w:t>$21.5B</w:t>
            </w:r>
          </w:p>
        </w:tc>
        <w:tc>
          <w:tcPr>
            <w:tcW w:type="dxa" w:w="1080"/>
          </w:tcPr>
          <w:p>
            <w:r>
              <w:rPr>
                <w:rFonts w:ascii="Calibri" w:hAnsi="Calibri"/>
                <w:sz w:val="22"/>
              </w:rPr>
              <w:t>+0.5%</w:t>
            </w:r>
          </w:p>
        </w:tc>
        <w:tc>
          <w:tcPr>
            <w:tcW w:type="dxa" w:w="1080"/>
          </w:tcPr>
          <w:p>
            <w:r>
              <w:rPr>
                <w:rFonts w:ascii="Calibri" w:hAnsi="Calibri"/>
                <w:sz w:val="22"/>
              </w:rPr>
              <w:t>FY26 &gt; FY25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 Q2 2026</w:t>
            </w:r>
          </w:p>
        </w:tc>
        <w:tc>
          <w:tcPr>
            <w:tcW w:type="dxa" w:w="1080"/>
          </w:tcPr>
          <w:p>
            <w:r>
              <w:rPr>
                <w:rFonts w:ascii="Calibri" w:hAnsi="Calibri"/>
                <w:sz w:val="22"/>
              </w:rPr>
              <w:t>$32.9B</w:t>
            </w:r>
          </w:p>
        </w:tc>
        <w:tc>
          <w:tcPr>
            <w:tcW w:type="dxa" w:w="1080"/>
          </w:tcPr>
          <w:p>
            <w:r>
              <w:rPr>
                <w:rFonts w:ascii="Calibri" w:hAnsi="Calibri"/>
                <w:sz w:val="22"/>
              </w:rPr>
              <w:t>$33.3B</w:t>
            </w:r>
          </w:p>
        </w:tc>
        <w:tc>
          <w:tcPr>
            <w:tcW w:type="dxa" w:w="1080"/>
          </w:tcPr>
          <w:p>
            <w:r>
              <w:rPr>
                <w:rFonts w:ascii="Calibri" w:hAnsi="Calibri"/>
                <w:sz w:val="22"/>
              </w:rPr>
              <w:t>+1.2%</w:t>
            </w:r>
          </w:p>
        </w:tc>
        <w:tc>
          <w:tcPr>
            <w:tcW w:type="dxa" w:w="1080"/>
          </w:tcPr>
          <w:p>
            <w:r>
              <w:rPr>
                <w:rFonts w:ascii="Calibri" w:hAnsi="Calibri"/>
                <w:sz w:val="22"/>
              </w:rPr>
              <w:t>FY26: $125–$145B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guided only)</w:t>
            </w:r>
          </w:p>
        </w:tc>
      </w:tr>
      <w:tr>
        <w:tc>
          <w:tcPr>
            <w:tcW w:type="dxa" w:w="1080"/>
          </w:tcPr>
          <w:p>
            <w:r>
              <w:rPr>
                <w:rFonts w:ascii="Calibri" w:hAnsi="Calibri"/>
                <w:sz w:val="22"/>
              </w:rPr>
              <w:t>CapEx — FY 2026</w:t>
            </w:r>
          </w:p>
        </w:tc>
        <w:tc>
          <w:tcPr>
            <w:tcW w:type="dxa" w:w="1080"/>
          </w:tcPr>
          <w:p>
            <w:r>
              <w:rPr>
                <w:rFonts w:ascii="Calibri" w:hAnsi="Calibri"/>
                <w:sz w:val="22"/>
              </w:rPr>
              <w:t>$137.9B</w:t>
            </w:r>
          </w:p>
        </w:tc>
        <w:tc>
          <w:tcPr>
            <w:tcW w:type="dxa" w:w="1080"/>
          </w:tcPr>
          <w:p>
            <w:r>
              <w:rPr>
                <w:rFonts w:ascii="Calibri" w:hAnsi="Calibri"/>
                <w:sz w:val="22"/>
              </w:rPr>
              <w:t>$139.4B</w:t>
            </w:r>
          </w:p>
        </w:tc>
        <w:tc>
          <w:tcPr>
            <w:tcW w:type="dxa" w:w="1080"/>
          </w:tcPr>
          <w:p>
            <w:r>
              <w:rPr>
                <w:rFonts w:ascii="Calibri" w:hAnsi="Calibri"/>
                <w:sz w:val="22"/>
              </w:rPr>
              <w:t>+1.1%</w:t>
            </w:r>
          </w:p>
        </w:tc>
        <w:tc>
          <w:tcPr>
            <w:tcW w:type="dxa" w:w="1080"/>
          </w:tcPr>
          <w:p>
            <w:r>
              <w:rPr>
                <w:rFonts w:ascii="Calibri" w:hAnsi="Calibri"/>
                <w:sz w:val="22"/>
              </w:rPr>
              <w:t>$125–$145B (mid: $135B)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+3.3% above midpoint</w:t>
            </w:r>
          </w:p>
        </w:tc>
      </w:tr>
      <w:tr>
        <w:tc>
          <w:tcPr>
            <w:tcW w:type="dxa" w:w="1080"/>
          </w:tcPr>
          <w:p>
            <w:r>
              <w:rPr>
                <w:rFonts w:ascii="Calibri" w:hAnsi="Calibri"/>
                <w:sz w:val="22"/>
              </w:rPr>
              <w:t>Total Ad Impressions — Q2 2026</w:t>
            </w:r>
          </w:p>
        </w:tc>
        <w:tc>
          <w:tcPr>
            <w:tcW w:type="dxa" w:w="1080"/>
          </w:tcPr>
          <w:p>
            <w:r>
              <w:rPr>
                <w:rFonts w:ascii="Calibri" w:hAnsi="Calibri"/>
                <w:sz w:val="22"/>
              </w:rPr>
              <w:t>~20,272B</w:t>
            </w:r>
          </w:p>
        </w:tc>
        <w:tc>
          <w:tcPr>
            <w:tcW w:type="dxa" w:w="1080"/>
          </w:tcPr>
          <w:p>
            <w:r>
              <w:rPr>
                <w:rFonts w:ascii="Calibri" w:hAnsi="Calibri"/>
                <w:sz w:val="22"/>
              </w:rPr>
              <w:t>~20,227B</w:t>
            </w:r>
          </w:p>
        </w:tc>
        <w:tc>
          <w:tcPr>
            <w:tcW w:type="dxa" w:w="1080"/>
          </w:tcPr>
          <w:p>
            <w:r>
              <w:rPr>
                <w:rFonts w:ascii="Calibri" w:hAnsi="Calibri"/>
                <w:sz w:val="22"/>
              </w:rPr>
              <w:t>-0.2%</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The notable divergence is in operating EPS: the post-Q1 baseline was $9.07 but current consensus has drifted down to $8.70 (-4.1%), likely reflecting the Street incorporating higher depreciation from the accelerated capex ramp into Q2 cost models. Revenue estimates, by contrast, are essentially flat — confirming that the market's concern is entirely on the cost/capex side, not on demand. FY26 capex consensus of $139.4B sits 3.3% above the guidance midpoint of $135B, suggesting analysts are already pricing in some probability of another raise.</w:t>
      </w:r>
    </w:p>
    <w:p>
      <w:r>
        <w:rPr>
          <w:rFonts w:ascii="Calibri" w:hAnsi="Calibri"/>
          <w:i/>
          <w:color w:val="525866"/>
          <w:sz w:val="22"/>
        </w:rPr>
        <w:t>Source: Visible Alpha Consensus and Actuals Data. Post-Q1 baseline as of May 6, 2026 (5 trading days after April 29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META has dramatically underperformed since Q1 earnings — down ~11.3% vs. the S&amp;P 500's +4.1% gain and XLC's -4.9% — driven almost entirely by multiple compression on capex concerns rather than any deterioration in earnings power, creating a potentially attractive setup if Q2 results are clean.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META vs. XLC (Communication Services ETF) vs. S&amp;P 500 (SPY) — Indexed to 100 at Q1 2026 Earnings (April 29, 2026). Source: Yahoo Finance.</w:t>
      </w:r>
    </w:p>
    <w:p>
      <w:r>
        <w:rPr>
          <w:rFonts w:ascii="Calibri" w:hAnsi="Calibri"/>
          <w:color w:val="525866"/>
          <w:sz w:val="22"/>
        </w:rPr>
        <w:t>META opened Q2 at $669 (the Q1 earnings close) and immediately sold off ~8.5% in the first two sessions as investors digested the capex raise. The stock found a floor around $565–$570 in mid-June before staging a partial recovery to the $640–$680 range in mid-July, likely driven by positive read-throughs from Alphabet's strong Q2 2026 print (advertising revenue +14% YoY, Search +17%). However, the stock has since pulled back again to the ~$593 range heading into the print, suggesting the market remains cautious. The XLC ETF has also underperformed the S&amp;P 500 over this period (-4.9% vs. +4.1%), reflecting sector-wide pressure, but META's underperformance is significantly worse than the sector, confirming the capex narrative is company-specific. The compressed multiple — META is trading well below its 52-week high — means a clean print with stable capex guidance could drive meaningful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Alphabet's strong Q2 2026 advertising print (reported July 22), which provides a direct positive read-through for Meta's ad demand environment heading into the print; the secondary concern is the ongoing capex escalation narrative reinforced by new location-based ad fees and EU regulatory commitments.</w:t>
      </w:r>
    </w:p>
    <w:p>
      <w:pPr>
        <w:pStyle w:val="ListBullet"/>
        <w:ind w:left="360" w:hanging="360"/>
      </w:pPr>
      <w:r>
        <w:rPr>
          <w:rFonts w:ascii="Calibri" w:hAnsi="Calibri"/>
          <w:b/>
          <w:color w:val="525866"/>
          <w:sz w:val="22"/>
        </w:rPr>
        <w:t>[July 22, 2026] Alphabet (GOOGL) Q2 2026 Earnings Beat — Positive Read-Through.</w:t>
      </w:r>
      <w:r>
        <w:rPr>
          <w:rFonts w:ascii="Calibri" w:hAnsi="Calibri"/>
          <w:color w:val="525866"/>
          <w:sz w:val="22"/>
        </w:rPr>
        <w:t xml:space="preserve"> Google reported total revenue +24% YoY, Search +17% YoY to $63.3B, and YouTube ads +13% YoY to $11.1B. Management cited AI-driven ad performance improvements, strong retail and finance verticals, and record search usage during the FIFA World Cup. This is the strongest direct read-through for Meta's Q2 ad demand environment, confirming that the digital advertising market remains robust and that AI-powered ad tools are driving measurable ROI for advertisers.</w:t>
      </w:r>
    </w:p>
    <w:p>
      <w:pPr>
        <w:pStyle w:val="ListBullet"/>
        <w:ind w:left="360" w:hanging="360"/>
      </w:pPr>
      <w:r>
        <w:rPr>
          <w:rFonts w:ascii="Calibri" w:hAnsi="Calibri"/>
          <w:b/>
          <w:color w:val="525866"/>
          <w:sz w:val="22"/>
        </w:rPr>
        <w:t>[July 16, 2026] Netflix Q2 2026 Earnings — Strong Advertiser Demand Signal.</w:t>
      </w:r>
      <w:r>
        <w:rPr>
          <w:rFonts w:ascii="Calibri" w:hAnsi="Calibri"/>
          <w:color w:val="525866"/>
          <w:sz w:val="22"/>
        </w:rPr>
        <w:t xml:space="preserve"> Netflix reported strong advertiser demand and noted its ad-supported tier ARM gap is narrowing, signaling healthy premium video ad market conditions. Indirect positive for Meta's brand advertising demand.</w:t>
      </w:r>
    </w:p>
    <w:p>
      <w:pPr>
        <w:pStyle w:val="ListBullet"/>
        <w:ind w:left="360" w:hanging="360"/>
      </w:pPr>
      <w:r>
        <w:rPr>
          <w:rFonts w:ascii="Calibri" w:hAnsi="Calibri"/>
          <w:b/>
          <w:color w:val="525866"/>
          <w:sz w:val="22"/>
        </w:rPr>
        <w:t>[July 14, 2026] Meta Confirms Q2 2026 Earnings Date.</w:t>
      </w:r>
      <w:r>
        <w:rPr>
          <w:rFonts w:ascii="Calibri" w:hAnsi="Calibri"/>
          <w:color w:val="525866"/>
          <w:sz w:val="22"/>
        </w:rPr>
        <w:t xml:space="preserve"> Meta officially announced results will be released after market close on July 29, 2026, with a conference call at 1:30 PM PT / 4:30 PM ET. No pre-announcement or guidance update accompanied the announcement — a neutral signal.</w:t>
      </w:r>
    </w:p>
    <w:p>
      <w:pPr>
        <w:pStyle w:val="ListBullet"/>
        <w:ind w:left="360" w:hanging="360"/>
      </w:pPr>
      <w:r>
        <w:rPr>
          <w:rFonts w:ascii="Calibri" w:hAnsi="Calibri"/>
          <w:b/>
          <w:color w:val="525866"/>
          <w:sz w:val="22"/>
        </w:rPr>
        <w:t>[July 7, 2026] Muse Image Model Integrated into Advantage+.</w:t>
      </w:r>
      <w:r>
        <w:rPr>
          <w:rFonts w:ascii="Calibri" w:hAnsi="Calibri"/>
          <w:color w:val="525866"/>
          <w:sz w:val="22"/>
        </w:rPr>
        <w:t xml:space="preserve"> Meta began powering Advantage+ image variations with its new in-house Muse Image model, a direct product of the Meta Superintelligence Labs launch. This is a positive signal for ad creative quality and conversion rates, which management cited as a key driver of advertiser ROI.</w:t>
      </w:r>
    </w:p>
    <w:p>
      <w:pPr>
        <w:pStyle w:val="ListBullet"/>
        <w:ind w:left="360" w:hanging="360"/>
      </w:pPr>
      <w:r>
        <w:rPr>
          <w:rFonts w:ascii="Calibri" w:hAnsi="Calibri"/>
          <w:b/>
          <w:color w:val="525866"/>
          <w:sz w:val="22"/>
        </w:rPr>
        <w:t>[July 1, 2026] Location-Based Ad Fees Introduced in 6 Countries.</w:t>
      </w:r>
      <w:r>
        <w:rPr>
          <w:rFonts w:ascii="Calibri" w:hAnsi="Calibri"/>
          <w:color w:val="525866"/>
          <w:sz w:val="22"/>
        </w:rPr>
        <w:t xml:space="preserve"> Meta began charging a 2–5% location fee on ads delivered in the UK, France, Italy, Spain, Austria, and Türkiye, effectively passing digital services taxes to advertisers. This could create modest headwinds for international ad revenue growth if advertisers reduce spend in affected markets, but the impact is likely small in aggregate.</w:t>
      </w:r>
    </w:p>
    <w:p>
      <w:pPr>
        <w:pStyle w:val="ListBullet"/>
        <w:ind w:left="360" w:hanging="360"/>
      </w:pPr>
      <w:r>
        <w:rPr>
          <w:rFonts w:ascii="Calibri" w:hAnsi="Calibri"/>
          <w:b/>
          <w:color w:val="525866"/>
          <w:sz w:val="22"/>
        </w:rPr>
        <w:t>[Late June 2026] EU AI Act Code of Practice — Meta Signs Transparency Commitment.</w:t>
      </w:r>
      <w:r>
        <w:rPr>
          <w:rFonts w:ascii="Calibri" w:hAnsi="Calibri"/>
          <w:color w:val="525866"/>
          <w:sz w:val="22"/>
        </w:rPr>
        <w:t xml:space="preserve"> Meta confirmed it will sign the EU AI Act Code of Practice on Transparency of AI-Generated Content. This is a regulatory compliance development with limited near-term financial impact but signals ongoing EU regulatory engagement that management has flagged as a potential headwind.</w:t>
      </w:r>
    </w:p>
    <w:p>
      <w:pPr>
        <w:pStyle w:val="ListBullet"/>
        <w:ind w:left="360" w:hanging="360"/>
      </w:pPr>
      <w:r>
        <w:rPr>
          <w:rFonts w:ascii="Calibri" w:hAnsi="Calibri"/>
          <w:b/>
          <w:color w:val="525866"/>
          <w:sz w:val="22"/>
        </w:rPr>
        <w:t>[June 15, 2026] Organic Reach Metrics Deprecated.</w:t>
      </w:r>
      <w:r>
        <w:rPr>
          <w:rFonts w:ascii="Calibri" w:hAnsi="Calibri"/>
          <w:color w:val="525866"/>
          <w:sz w:val="22"/>
        </w:rPr>
        <w:t xml:space="preserve"> Meta discontinued ~85 legacy organic reach and impressions metrics (Post Reach, Video Impressions, Story Impressions) across its API, replacing them with Media Views/Viewers. This is an operational change for advertisers and agencies but has no direct revenue impact.</w:t>
      </w:r>
    </w:p>
    <w:p>
      <w:pPr>
        <w:pStyle w:val="ListBullet"/>
        <w:ind w:left="360" w:hanging="360"/>
      </w:pPr>
      <w:r>
        <w:rPr>
          <w:rFonts w:ascii="Calibri" w:hAnsi="Calibri"/>
          <w:b/>
          <w:color w:val="525866"/>
          <w:sz w:val="22"/>
        </w:rPr>
        <w:t>[June 12, 2026] Ads Manager Outage (June 12 and June 23–24).</w:t>
      </w:r>
      <w:r>
        <w:rPr>
          <w:rFonts w:ascii="Calibri" w:hAnsi="Calibri"/>
          <w:color w:val="525866"/>
          <w:sz w:val="22"/>
        </w:rPr>
        <w:t xml:space="preserve"> Meta confirmed two Ads Manager incidents in June — a ~4-hour outage on June 12 and a disruption on June 23–24. These events may have caused minor revenue leakage in June but are unlikely to be material at the quarterly level.</w:t>
      </w:r>
    </w:p>
    <w:p>
      <w:pPr>
        <w:pStyle w:val="ListBullet"/>
        <w:ind w:left="360" w:hanging="360"/>
      </w:pPr>
      <w:r>
        <w:rPr>
          <w:rFonts w:ascii="Calibri" w:hAnsi="Calibri"/>
          <w:b/>
          <w:color w:val="525866"/>
          <w:sz w:val="22"/>
        </w:rPr>
        <w:t>[May 2026] Planned Headcount Reduction Executed.</w:t>
      </w:r>
      <w:r>
        <w:rPr>
          <w:rFonts w:ascii="Calibri" w:hAnsi="Calibri"/>
          <w:color w:val="525866"/>
          <w:sz w:val="22"/>
        </w:rPr>
        <w:t xml:space="preserve"> Meta carried out the employee base reduction announced on the Q1 call. The full cost benefit is expected to be reflected in Q2 and beyond, providing a modest offset to infrastructure cost growth. This is consistent with management's “leaner operating model” narrative.</w:t>
      </w:r>
    </w:p>
    <w:p>
      <w:pPr>
        <w:pStyle w:val="ListBullet"/>
        <w:ind w:left="360" w:hanging="360"/>
      </w:pPr>
      <w:r>
        <w:rPr>
          <w:rFonts w:ascii="Calibri" w:hAnsi="Calibri"/>
          <w:b/>
          <w:color w:val="525866"/>
          <w:sz w:val="22"/>
        </w:rPr>
        <w:t>[April 27, 2026] Manus Acquisition Blocked by China.</w:t>
      </w:r>
      <w:r>
        <w:rPr>
          <w:rFonts w:ascii="Calibri" w:hAnsi="Calibri"/>
          <w:color w:val="525866"/>
          <w:sz w:val="22"/>
        </w:rPr>
        <w:t xml:space="preserve"> China's NDRC blocked Meta's acquisition of agentic AI startup Manus just two days before the Q1 earnings call. Management offered no resolution path on the call. This leaves a gap in Meta's near-term agentic AI product execution strategy and introduces geopolitical risk as a new variable in M&amp;A planning. Watch for any update on Q2 call.</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Q1 2026 earnings calls (April–May 2026) and Alphabet's Q2 2026 print (July 22) collectively paint a constructive picture for Meta's Q2 — digital ad demand is healthy, AI-powered performance tools are driving measurable ROI, and SMB spend is accelerating — though macro uncertainty and Middle East geopolitical headwinds are creating some noise at the margin.</w:t>
      </w:r>
    </w:p>
    <w:p>
      <w:r>
        <w:rPr>
          <w:rFonts w:ascii="Calibri" w:hAnsi="Calibri"/>
          <w:i/>
          <w:color w:val="525866"/>
          <w:sz w:val="22"/>
        </w:rPr>
        <w:t>Note: Only commentary about Q2 2026 (the current reporting quarter) or forward-looking commentary made after Q1 2026 earnings is included below. Q1 2026 results commentary from peers is excluded.</w:t>
      </w:r>
    </w:p>
    <w:p>
      <w:pPr>
        <w:pStyle w:val="Heading3"/>
      </w:pPr>
      <w:r>
        <w:rPr>
          <w:rFonts w:ascii="Calibri" w:hAnsi="Calibri"/>
          <w:b/>
          <w:color w:val="3B4259"/>
          <w:sz w:val="24"/>
        </w:rPr>
        <w:t>Alphabet (GOOGL) — Q2 2026 Earnings Call (July 22, 2026)</w:t>
      </w:r>
    </w:p>
    <w:p>
      <w:r>
        <w:rPr>
          <w:rFonts w:ascii="Calibri" w:hAnsi="Calibri"/>
          <w:i/>
          <w:color w:val="525866"/>
          <w:sz w:val="22"/>
        </w:rPr>
        <w:t>Relevance: Strongest direct read-through. Google and Meta compete for the same digital advertising budgets across the same verticals (retail, finance, tech, media). A strong Google quarter with healthy pricing and impression growth is the best leading indicator for Meta.</w:t>
      </w:r>
    </w:p>
    <w:p>
      <w:pPr>
        <w:pStyle w:val="ListBullet"/>
        <w:ind w:left="360" w:hanging="360"/>
      </w:pPr>
      <w:r>
        <w:rPr>
          <w:rFonts w:ascii="Calibri" w:hAnsi="Calibri"/>
          <w:b/>
          <w:color w:val="525866"/>
          <w:sz w:val="22"/>
        </w:rPr>
        <w:t xml:space="preserve">Digital ad market remains robust: </w:t>
      </w:r>
      <w:r>
        <w:rPr>
          <w:rFonts w:ascii="Calibri" w:hAnsi="Calibri"/>
          <w:color w:val="525866"/>
          <w:sz w:val="22"/>
        </w:rPr>
        <w:t>Total advertising revenues grew +14% YoY in Q2, with growth across all major verticals. Retail drove the largest contribution, followed by finance, tech, and media/entertainment — the same verticals that drive Meta's ad revenue. This confirms that advertiser demand has not deteriorated despite macro uncertainty.</w:t>
      </w:r>
    </w:p>
    <w:p>
      <w:pPr>
        <w:pStyle w:val="ListBullet"/>
        <w:ind w:left="360" w:hanging="360"/>
      </w:pPr>
      <w:r>
        <w:rPr>
          <w:rFonts w:ascii="Calibri" w:hAnsi="Calibri"/>
          <w:b/>
          <w:color w:val="525866"/>
          <w:sz w:val="22"/>
        </w:rPr>
        <w:t xml:space="preserve">AI is driving an ‘expansionary movement’ in search: </w:t>
      </w:r>
      <w:r>
        <w:rPr>
          <w:rFonts w:ascii="Calibri" w:hAnsi="Calibri"/>
          <w:color w:val="525866"/>
          <w:sz w:val="22"/>
        </w:rPr>
        <w:t>CEO Sundar Pichai noted that AI continues to drive an ‘expansionary movement’ in search, with AI Mode surpassing 1 billion monthly active users since its global expansion. Critically, monetization performance on queries showing AI overviews is ‘robust,’ and Google is now sending ‘billions of clicks to websites every week through AI features.’ This validates Meta’s thesis that AI-powered ad tools drive incremental demand rather than cannibalize it.</w:t>
      </w:r>
    </w:p>
    <w:p>
      <w:pPr>
        <w:pStyle w:val="ListBullet"/>
        <w:ind w:left="360" w:hanging="360"/>
      </w:pPr>
      <w:r>
        <w:rPr>
          <w:rFonts w:ascii="Calibri" w:hAnsi="Calibri"/>
          <w:b/>
          <w:color w:val="525866"/>
          <w:sz w:val="22"/>
        </w:rPr>
        <w:t xml:space="preserve">Advertiser ROI improving via AI tools: </w:t>
      </w:r>
      <w:r>
        <w:rPr>
          <w:rFonts w:ascii="Calibri" w:hAnsi="Calibri"/>
          <w:color w:val="525866"/>
          <w:sz w:val="22"/>
        </w:rPr>
        <w:t>Performance Max (Pmax) has been adopted by 500,000 advertisers, with AI-powered campaigns delivering an average 15% more conversions at similar ROAS. Gemini improved shopping ad relevance by 20%. These data points directly support Meta’s narrative that AI-driven ad performance improvements are driving advertiser spend growth — a key driver of Meta’s average price per ad growth.</w:t>
      </w:r>
    </w:p>
    <w:p>
      <w:pPr>
        <w:pStyle w:val="ListBullet"/>
        <w:ind w:left="360" w:hanging="360"/>
      </w:pPr>
      <w:r>
        <w:rPr>
          <w:rFonts w:ascii="Calibri" w:hAnsi="Calibri"/>
          <w:b/>
          <w:color w:val="525866"/>
          <w:sz w:val="22"/>
        </w:rPr>
        <w:t xml:space="preserve">YouTube ads +13% YoY; FIFA World Cup a tailwind: </w:t>
      </w:r>
      <w:r>
        <w:rPr>
          <w:rFonts w:ascii="Calibri" w:hAnsi="Calibri"/>
          <w:color w:val="525866"/>
          <w:sz w:val="22"/>
        </w:rPr>
        <w:t>YouTube advertising revenues grew 13% to $11.1B, driven by direct response and brand advertising. The FIFA World Cup 2026 was the most viewed in YouTube history (1.7B unique viewers), providing a meaningful tailwind to Q2 brand advertising. Meta’s Instagram Reels and Facebook Video likely benefited from similar World Cup engagement trends.</w:t>
      </w:r>
    </w:p>
    <w:p>
      <w:pPr>
        <w:pStyle w:val="ListBullet"/>
        <w:ind w:left="360" w:hanging="360"/>
      </w:pPr>
      <w:r>
        <w:rPr>
          <w:rFonts w:ascii="Calibri" w:hAnsi="Calibri"/>
          <w:b/>
          <w:color w:val="525866"/>
          <w:sz w:val="22"/>
        </w:rPr>
        <w:t xml:space="preserve">Q3 FX headwind flagged: </w:t>
      </w:r>
      <w:r>
        <w:rPr>
          <w:rFonts w:ascii="Calibri" w:hAnsi="Calibri"/>
          <w:color w:val="525866"/>
          <w:sz w:val="22"/>
        </w:rPr>
        <w:t>Alphabet noted a ‘slight FX headwind’ to consolidated revenue in Q3 vs. a 1pp tailwind in Q2. Meta guided for a ~2% FX tailwind in Q2 — if realized, this is a positive vs. Alphabet’s experience and supports Meta’s Q2 revenue guidance.</w:t>
      </w:r>
    </w:p>
    <w:p>
      <w:pPr>
        <w:pStyle w:val="ListBullet"/>
        <w:ind w:left="360" w:hanging="360"/>
      </w:pPr>
      <w:r>
        <w:rPr>
          <w:rFonts w:ascii="Calibri" w:hAnsi="Calibri"/>
          <w:b/>
          <w:color w:val="525866"/>
          <w:sz w:val="22"/>
        </w:rPr>
        <w:t xml:space="preserve">SMB growth via AI tools: </w:t>
      </w:r>
      <w:r>
        <w:rPr>
          <w:rFonts w:ascii="Calibri" w:hAnsi="Calibri"/>
          <w:color w:val="525866"/>
          <w:sz w:val="22"/>
        </w:rPr>
        <w:t>Over half of Google’s SMB customers globally use AI to create or optimize creatives. This mirrors Meta’s own data (8M+ advertisers using Gen AI creative tools) and confirms that SMB adoption of AI ad tools is a broad industry trend, not Meta-specific.</w:t>
      </w:r>
    </w:p>
    <w:p>
      <w:pPr>
        <w:pStyle w:val="Heading3"/>
      </w:pPr>
      <w:r>
        <w:rPr>
          <w:rFonts w:ascii="Calibri" w:hAnsi="Calibri"/>
          <w:b/>
          <w:color w:val="3B4259"/>
          <w:sz w:val="24"/>
        </w:rPr>
        <w:t>Snap (SNAP) — Q1 2026 Earnings Call (May 6, 2026) — Q2 2026 Outlook Commentary</w:t>
      </w:r>
    </w:p>
    <w:p>
      <w:r>
        <w:rPr>
          <w:rFonts w:ascii="Calibri" w:hAnsi="Calibri"/>
          <w:i/>
          <w:color w:val="525866"/>
          <w:sz w:val="22"/>
        </w:rPr>
        <w:t>Relevance: Snap competes with Meta for social advertising budgets, particularly in direct response and SMB. Snap’s Q2 guidance and commentary on advertiser demand trends are a useful read-through for Meta’s Q2 environment.</w:t>
      </w:r>
    </w:p>
    <w:p>
      <w:pPr>
        <w:pStyle w:val="ListBullet"/>
        <w:ind w:left="360" w:hanging="360"/>
      </w:pPr>
      <w:r>
        <w:rPr>
          <w:rFonts w:ascii="Calibri" w:hAnsi="Calibri"/>
          <w:b/>
          <w:color w:val="525866"/>
          <w:sz w:val="22"/>
        </w:rPr>
        <w:t xml:space="preserve">Q2 2026 revenue guidance of $1.52–$1.55B implies 2pp acceleration vs. Q1: </w:t>
      </w:r>
      <w:r>
        <w:rPr>
          <w:rFonts w:ascii="Calibri" w:hAnsi="Calibri"/>
          <w:color w:val="525866"/>
          <w:sz w:val="22"/>
        </w:rPr>
        <w:t>Snap attributed the acceleration to ‘strength in the North America ads business,’ with SMB spend growing 30%+ YoY in North America in Q1. This is a positive read-through for Meta’s SMB demand environment, which has been a key growth driver.</w:t>
      </w:r>
    </w:p>
    <w:p>
      <w:pPr>
        <w:pStyle w:val="ListBullet"/>
        <w:ind w:left="360" w:hanging="360"/>
      </w:pPr>
      <w:r>
        <w:rPr>
          <w:rFonts w:ascii="Calibri" w:hAnsi="Calibri"/>
          <w:b/>
          <w:color w:val="525866"/>
          <w:sz w:val="22"/>
        </w:rPr>
        <w:t xml:space="preserve">Large advertiser recovery ‘early and uneven’: </w:t>
      </w:r>
      <w:r>
        <w:rPr>
          <w:rFonts w:ascii="Calibri" w:hAnsi="Calibri"/>
          <w:color w:val="525866"/>
          <w:sz w:val="22"/>
        </w:rPr>
        <w:t>Snap noted that large North American advertisers remained a headwind in Q1 but flagged ‘early signs of improvement’ as performance gains are reflected in third-party measurement systems. This is a nuanced read-through — Meta’s large advertiser base is more diversified and its measurement tools are more mature, so the headwind is likely less acute for Meta.</w:t>
      </w:r>
    </w:p>
    <w:p>
      <w:pPr>
        <w:pStyle w:val="ListBullet"/>
        <w:ind w:left="360" w:hanging="360"/>
      </w:pPr>
      <w:r>
        <w:rPr>
          <w:rFonts w:ascii="Calibri" w:hAnsi="Calibri"/>
          <w:b/>
          <w:color w:val="525866"/>
          <w:sz w:val="22"/>
        </w:rPr>
        <w:t xml:space="preserve">Middle East geopolitical headwinds: </w:t>
      </w:r>
      <w:r>
        <w:rPr>
          <w:rFonts w:ascii="Calibri" w:hAnsi="Calibri"/>
          <w:color w:val="525866"/>
          <w:sz w:val="22"/>
        </w:rPr>
        <w:t>Snap flagged a $20–25M impact from Middle East geopolitical headwinds in March and assumed a full-quarter impact in Q2. Meta’s international revenue exposure to the Middle East is smaller as a percentage of total revenue, but this is worth monitoring as a potential drag on international ad revenue.</w:t>
      </w:r>
    </w:p>
    <w:p>
      <w:pPr>
        <w:pStyle w:val="ListBullet"/>
        <w:ind w:left="360" w:hanging="360"/>
      </w:pPr>
      <w:r>
        <w:rPr>
          <w:rFonts w:ascii="Calibri" w:hAnsi="Calibri"/>
          <w:b/>
          <w:color w:val="525866"/>
          <w:sz w:val="22"/>
        </w:rPr>
        <w:t xml:space="preserve">North America upfront commitments grew ~10% YoY: </w:t>
      </w:r>
      <w:r>
        <w:rPr>
          <w:rFonts w:ascii="Calibri" w:hAnsi="Calibri"/>
          <w:color w:val="525866"/>
          <w:sz w:val="22"/>
        </w:rPr>
        <w:t>Snap’s 2026 upfront commitments grew ~10% YoY, signaling that agencies and advertisers are increasingly willing to commit budgets as performance and measurement improve. This is a positive leading indicator for the broader social advertising market heading into Q2.</w:t>
      </w:r>
    </w:p>
    <w:p>
      <w:pPr>
        <w:pStyle w:val="ListBullet"/>
        <w:ind w:left="360" w:hanging="360"/>
      </w:pPr>
      <w:r>
        <w:rPr>
          <w:rFonts w:ascii="Calibri" w:hAnsi="Calibri"/>
          <w:b/>
          <w:color w:val="525866"/>
          <w:sz w:val="22"/>
        </w:rPr>
        <w:t xml:space="preserve">AI driving ad performance: </w:t>
      </w:r>
      <w:r>
        <w:rPr>
          <w:rFonts w:ascii="Calibri" w:hAnsi="Calibri"/>
          <w:color w:val="525866"/>
          <w:sz w:val="22"/>
        </w:rPr>
        <w:t>Nearly 70% of Snap’s advertising spend uses at least one AI-powered automation solution. LLM-based user intent understanding improved Pixel Purchase conversions by 2%+. These data points reinforce the industry-wide trend of AI-driven ad performance improvement that Meta is also executing on.</w:t>
      </w:r>
    </w:p>
    <w:p>
      <w:pPr>
        <w:pStyle w:val="Heading3"/>
      </w:pPr>
      <w:r>
        <w:rPr>
          <w:rFonts w:ascii="Calibri" w:hAnsi="Calibri"/>
          <w:b/>
          <w:color w:val="3B4259"/>
          <w:sz w:val="24"/>
        </w:rPr>
        <w:t>Pinterest (PINS) — Q1 2026 Earnings Call (May 4, 2026) — Q2 2026 Outlook Commentary</w:t>
      </w:r>
    </w:p>
    <w:p>
      <w:r>
        <w:rPr>
          <w:rFonts w:ascii="Calibri" w:hAnsi="Calibri"/>
          <w:i/>
          <w:color w:val="525866"/>
          <w:sz w:val="22"/>
        </w:rPr>
        <w:t>Relevance: Pinterest competes with Meta for retail and e-commerce advertising budgets. Pinterest’s commentary on retail advertiser behavior and AI-driven performance tools is a useful read-through.</w:t>
      </w:r>
    </w:p>
    <w:p>
      <w:pPr>
        <w:pStyle w:val="ListBullet"/>
        <w:ind w:left="360" w:hanging="360"/>
      </w:pPr>
      <w:r>
        <w:rPr>
          <w:rFonts w:ascii="Calibri" w:hAnsi="Calibri"/>
          <w:b/>
          <w:color w:val="525866"/>
          <w:sz w:val="22"/>
        </w:rPr>
        <w:t xml:space="preserve">Q2 2026 revenue guidance of $1.133–$1.153B implies 14–16% YoY growth: </w:t>
      </w:r>
      <w:r>
        <w:rPr>
          <w:rFonts w:ascii="Calibri" w:hAnsi="Calibri"/>
          <w:color w:val="525866"/>
          <w:sz w:val="22"/>
        </w:rPr>
        <w:t>Pinterest guided for continued double-digit growth in UCAN (its core market) in Q2, with the broader ad market environment described as ‘relatively consistent from last quarter.’ This is a neutral-to-positive read-through for Meta’s Q2 ad demand.</w:t>
      </w:r>
    </w:p>
    <w:p>
      <w:pPr>
        <w:pStyle w:val="ListBullet"/>
        <w:ind w:left="360" w:hanging="360"/>
      </w:pPr>
      <w:r>
        <w:rPr>
          <w:rFonts w:ascii="Calibri" w:hAnsi="Calibri"/>
          <w:b/>
          <w:color w:val="525866"/>
          <w:sz w:val="22"/>
        </w:rPr>
        <w:t xml:space="preserve">Large retailers navigating tariff-related margin pressure, but stability emerging: </w:t>
      </w:r>
      <w:r>
        <w:rPr>
          <w:rFonts w:ascii="Calibri" w:hAnsi="Calibri"/>
          <w:color w:val="525866"/>
          <w:sz w:val="22"/>
        </w:rPr>
        <w:t>Pinterest noted that large retailers continue to face tariff-related margin pressure but flagged ‘some stability.’ This is relevant for Meta given retail is one of its largest advertising verticals. The stability signal is modestly positive.</w:t>
      </w:r>
    </w:p>
    <w:p>
      <w:pPr>
        <w:pStyle w:val="ListBullet"/>
        <w:ind w:left="360" w:hanging="360"/>
      </w:pPr>
      <w:r>
        <w:rPr>
          <w:rFonts w:ascii="Calibri" w:hAnsi="Calibri"/>
          <w:b/>
          <w:color w:val="525866"/>
          <w:sz w:val="22"/>
        </w:rPr>
        <w:t xml:space="preserve">Middle East impact ‘small on a dollar basis’: </w:t>
      </w:r>
      <w:r>
        <w:rPr>
          <w:rFonts w:ascii="Calibri" w:hAnsi="Calibri"/>
          <w:color w:val="525866"/>
          <w:sz w:val="22"/>
        </w:rPr>
        <w:t>Pinterest characterized the Middle East conflict impact as ‘small on a dollar basis,’ primarily affecting Rest of World and isolated verticals. This is consistent with Snap’s commentary and suggests the impact on Meta’s larger, more diversified revenue base is likely manageable.</w:t>
      </w:r>
    </w:p>
    <w:p>
      <w:pPr>
        <w:pStyle w:val="ListBullet"/>
        <w:ind w:left="360" w:hanging="360"/>
      </w:pPr>
      <w:r>
        <w:rPr>
          <w:rFonts w:ascii="Calibri" w:hAnsi="Calibri"/>
          <w:b/>
          <w:color w:val="525866"/>
          <w:sz w:val="22"/>
        </w:rPr>
        <w:t xml:space="preserve">AI-driven ad platform improvements offsetting large retailer headwinds: </w:t>
      </w:r>
      <w:r>
        <w:rPr>
          <w:rFonts w:ascii="Calibri" w:hAnsi="Calibri"/>
          <w:color w:val="525866"/>
          <w:sz w:val="22"/>
        </w:rPr>
        <w:t>Pinterest noted that AI-driven bidding optimizations ‘partially offset’ headwinds from large retailers later in Q1. This mirrors Meta’s own narrative that AI ad improvements are driving incremental conversion rates and advertiser ROI, supporting the case for continued average price per ad growth.</w:t>
      </w:r>
    </w:p>
    <w:p>
      <w:pPr>
        <w:pStyle w:val="ListBullet"/>
        <w:ind w:left="360" w:hanging="360"/>
      </w:pPr>
      <w:r>
        <w:rPr>
          <w:rFonts w:ascii="Calibri" w:hAnsi="Calibri"/>
          <w:b/>
          <w:color w:val="525866"/>
          <w:sz w:val="22"/>
        </w:rPr>
        <w:t xml:space="preserve">International revenue moderating in Q2 due to go-to-market restructuring: </w:t>
      </w:r>
      <w:r>
        <w:rPr>
          <w:rFonts w:ascii="Calibri" w:hAnsi="Calibri"/>
          <w:color w:val="525866"/>
          <w:sz w:val="22"/>
        </w:rPr>
        <w:t>Pinterest flagged deliberate leadership changes in its international go-to-market organization as a Q2 headwind. This is Pinterest-specific and not a read-through for Meta, which has a more mature international sales organization.</w:t>
      </w:r>
    </w:p>
    <w:p>
      <w:pPr>
        <w:pStyle w:val="Heading3"/>
      </w:pPr>
      <w:r>
        <w:rPr>
          <w:rFonts w:ascii="Calibri" w:hAnsi="Calibri"/>
          <w:b/>
          <w:color w:val="3B4259"/>
          <w:sz w:val="24"/>
        </w:rPr>
        <w:t>Reddit (RDDT) — Q1 2026 Earnings Call (April 30, 2026) — Q2 2026 Outlook Commentary</w:t>
      </w:r>
    </w:p>
    <w:p>
      <w:r>
        <w:rPr>
          <w:rFonts w:ascii="Calibri" w:hAnsi="Calibri"/>
          <w:i/>
          <w:color w:val="525866"/>
          <w:sz w:val="22"/>
        </w:rPr>
        <w:t>Relevance: Reddit is a fast-growing social advertising platform competing for performance advertising budgets. Its commentary on advertiser behavior and macro conditions is a useful read-through for the broader digital ad market.</w:t>
      </w:r>
    </w:p>
    <w:p>
      <w:pPr>
        <w:pStyle w:val="ListBullet"/>
        <w:ind w:left="360" w:hanging="360"/>
      </w:pPr>
      <w:r>
        <w:rPr>
          <w:rFonts w:ascii="Calibri" w:hAnsi="Calibri"/>
          <w:b/>
          <w:color w:val="525866"/>
          <w:sz w:val="22"/>
        </w:rPr>
        <w:t xml:space="preserve">Q2 2026 revenue guidance of $715–$725M implies 43–45% YoY growth: </w:t>
      </w:r>
      <w:r>
        <w:rPr>
          <w:rFonts w:ascii="Calibri" w:hAnsi="Calibri"/>
          <w:color w:val="525866"/>
          <w:sz w:val="22"/>
        </w:rPr>
        <w:t>Reddit guided for continued strong growth in Q2, though lapping a very strong Q2 2025 (ad revenue +84% YoY). The company noted ‘strong growth and momentum as we exited Q1,’ a positive signal for the broader digital ad market heading into Q2.</w:t>
      </w:r>
    </w:p>
    <w:p>
      <w:pPr>
        <w:pStyle w:val="ListBullet"/>
        <w:ind w:left="360" w:hanging="360"/>
      </w:pPr>
      <w:r>
        <w:rPr>
          <w:rFonts w:ascii="Calibri" w:hAnsi="Calibri"/>
          <w:b/>
          <w:color w:val="525866"/>
          <w:sz w:val="22"/>
        </w:rPr>
        <w:t xml:space="preserve">Ad market ‘pretty stable’ but advertisers planning on shorter cycles: </w:t>
      </w:r>
      <w:r>
        <w:rPr>
          <w:rFonts w:ascii="Calibri" w:hAnsi="Calibri"/>
          <w:color w:val="525866"/>
          <w:sz w:val="22"/>
        </w:rPr>
        <w:t>Reddit noted that while the overall market appears stable, some advertisers are planning ‘month-to-month’ with ‘less visibility’ due to geopolitical uncertainty and tariffs. No material change in commitments was observed. This is a nuanced read-through — shorter planning cycles could create lumpiness in Q2 but do not signal a demand collapse.</w:t>
      </w:r>
    </w:p>
    <w:p>
      <w:pPr>
        <w:pStyle w:val="ListBullet"/>
        <w:ind w:left="360" w:hanging="360"/>
      </w:pPr>
      <w:r>
        <w:rPr>
          <w:rFonts w:ascii="Calibri" w:hAnsi="Calibri"/>
          <w:b/>
          <w:color w:val="525866"/>
          <w:sz w:val="22"/>
        </w:rPr>
        <w:t xml:space="preserve">Conversion-driven lower funnel revenue growing triple digits YoY: </w:t>
      </w:r>
      <w:r>
        <w:rPr>
          <w:rFonts w:ascii="Calibri" w:hAnsi="Calibri"/>
          <w:color w:val="525866"/>
          <w:sz w:val="22"/>
        </w:rPr>
        <w:t>Reddit’s lower funnel (direct response) revenue grew triple digits YoY in Q1, with performance-oriented revenue now &gt;60% of total ad revenue. This confirms that advertisers are increasingly prioritizing measurable ROI — a trend that benefits Meta’s AI-powered direct response ad products.</w:t>
      </w:r>
    </w:p>
    <w:p>
      <w:pPr>
        <w:pStyle w:val="ListBullet"/>
        <w:ind w:left="360" w:hanging="360"/>
      </w:pPr>
      <w:r>
        <w:rPr>
          <w:rFonts w:ascii="Calibri" w:hAnsi="Calibri"/>
          <w:b/>
          <w:color w:val="525866"/>
          <w:sz w:val="22"/>
        </w:rPr>
        <w:t xml:space="preserve">Active advertiser count grew 75%+ YoY: </w:t>
      </w:r>
      <w:r>
        <w:rPr>
          <w:rFonts w:ascii="Calibri" w:hAnsi="Calibri"/>
          <w:color w:val="525866"/>
          <w:sz w:val="22"/>
        </w:rPr>
        <w:t>Reddit’s active advertiser base grew 75%+ YoY in Q1, driven by SMB and mid-market expansion. While Reddit is much smaller than Meta, this growth rate signals that the digital advertising ecosystem is attracting new participants, which is a positive for the overall market.</w:t>
      </w:r>
    </w:p>
    <w:p>
      <w:pPr>
        <w:pStyle w:val="ListBullet"/>
        <w:ind w:left="360" w:hanging="360"/>
      </w:pPr>
      <w:r>
        <w:rPr>
          <w:rFonts w:ascii="Calibri" w:hAnsi="Calibri"/>
          <w:b/>
          <w:color w:val="525866"/>
          <w:sz w:val="22"/>
        </w:rPr>
        <w:t xml:space="preserve">AI content as ‘oil for the modern Internet’: </w:t>
      </w:r>
      <w:r>
        <w:rPr>
          <w:rFonts w:ascii="Calibri" w:hAnsi="Calibri"/>
          <w:color w:val="525866"/>
          <w:sz w:val="22"/>
        </w:rPr>
        <w:t>Reddit’s CEO framed authentic human conversation as increasingly scarce and valuable as AI becomes more prevalent, with AI models relying on human-generated content for training. This is an interesting strategic read-through for Meta’s own AI content strategy and the broader debate about AI-generated vs. human-generated content on social platforms.</w:t>
      </w:r>
    </w:p>
    <w:p>
      <w:pPr>
        <w:pStyle w:val="Heading3"/>
      </w:pPr>
      <w:r>
        <w:rPr>
          <w:rFonts w:ascii="Calibri" w:hAnsi="Calibri"/>
          <w:b/>
          <w:color w:val="3B4259"/>
          <w:sz w:val="24"/>
        </w:rPr>
        <w:t>The Trade Desk (TTD) — Q1 2026 Earnings Call (May 7, 2026) — Q2 2026 Outlook Commentary</w:t>
      </w:r>
    </w:p>
    <w:p>
      <w:r>
        <w:rPr>
          <w:rFonts w:ascii="Calibri" w:hAnsi="Calibri"/>
          <w:i/>
          <w:color w:val="525866"/>
          <w:sz w:val="22"/>
        </w:rPr>
        <w:t>Relevance: The Trade Desk is the leading independent demand-side platform (DSP) and provides the most comprehensive view of programmatic advertising market conditions. Its commentary on advertiser demand, macro headwinds, and the open Internet vs. walled gardens is relevant context for Meta.</w:t>
      </w:r>
    </w:p>
    <w:p>
      <w:pPr>
        <w:pStyle w:val="ListBullet"/>
        <w:ind w:left="360" w:hanging="360"/>
      </w:pPr>
      <w:r>
        <w:rPr>
          <w:rFonts w:ascii="Calibri" w:hAnsi="Calibri"/>
          <w:b/>
          <w:color w:val="525866"/>
          <w:sz w:val="22"/>
        </w:rPr>
        <w:t xml:space="preserve">Q2 2026 revenue guidance of at least $750M: </w:t>
      </w:r>
      <w:r>
        <w:rPr>
          <w:rFonts w:ascii="Calibri" w:hAnsi="Calibri"/>
          <w:color w:val="525866"/>
          <w:sz w:val="22"/>
        </w:rPr>
        <w:t>TTD guided for at least $750M in Q2 revenue, with adjusted EBITDA of ~$260M. The company characterized 2026 as a year of ‘disciplined reinvestment,’ with macro headwinds from geopolitical tensions, tariffs, and consumer pressure creating a ‘cloudier macro environment.’ This is a more cautious tone than Alphabet’s, but TTD’s Fortune 500 client base is more exposed to macro than Meta’s diversified SMB-heavy advertiser mix.</w:t>
      </w:r>
    </w:p>
    <w:p>
      <w:pPr>
        <w:pStyle w:val="ListBullet"/>
        <w:ind w:left="360" w:hanging="360"/>
      </w:pPr>
      <w:r>
        <w:rPr>
          <w:rFonts w:ascii="Calibri" w:hAnsi="Calibri"/>
          <w:b/>
          <w:color w:val="525866"/>
          <w:sz w:val="22"/>
        </w:rPr>
        <w:t xml:space="preserve">Record JBP signings in March — 45 deals: </w:t>
      </w:r>
      <w:r>
        <w:rPr>
          <w:rFonts w:ascii="Calibri" w:hAnsi="Calibri"/>
          <w:color w:val="525866"/>
          <w:sz w:val="22"/>
        </w:rPr>
        <w:t>TTD signed 45 Joint Business Partnerships in March alone, with total Q1 JBP count growing 55% YoY and new JBP deal spend growing 40% YoY. This signals that large advertisers are making multi-year programmatic commitments, which is a positive leading indicator for sustained digital ad demand in Q2 and beyond.</w:t>
      </w:r>
    </w:p>
    <w:p>
      <w:pPr>
        <w:pStyle w:val="ListBullet"/>
        <w:ind w:left="360" w:hanging="360"/>
      </w:pPr>
      <w:r>
        <w:rPr>
          <w:rFonts w:ascii="Calibri" w:hAnsi="Calibri"/>
          <w:b/>
          <w:color w:val="525866"/>
          <w:sz w:val="22"/>
        </w:rPr>
        <w:t xml:space="preserve">2025 saw unprecedented supply growth — ‘biggest buyers’ market in advertising history’: </w:t>
      </w:r>
      <w:r>
        <w:rPr>
          <w:rFonts w:ascii="Calibri" w:hAnsi="Calibri"/>
          <w:color w:val="525866"/>
          <w:sz w:val="22"/>
        </w:rPr>
        <w:t>TTD noted that 2025 added more ad supply than any prior year, creating a supply-demand imbalance that benefits buyers. This is a nuanced read-through for Meta — as a walled garden with premium inventory and strong targeting, Meta is better positioned than open Internet publishers to maintain pricing power in a supply-heavy environment.</w:t>
      </w:r>
    </w:p>
    <w:p>
      <w:pPr>
        <w:pStyle w:val="ListBullet"/>
        <w:ind w:left="360" w:hanging="360"/>
      </w:pPr>
      <w:r>
        <w:rPr>
          <w:rFonts w:ascii="Calibri" w:hAnsi="Calibri"/>
          <w:b/>
          <w:color w:val="525866"/>
          <w:sz w:val="22"/>
        </w:rPr>
        <w:t xml:space="preserve">CPG and auto facing headwinds; medical health, automotive, events strong: </w:t>
      </w:r>
      <w:r>
        <w:rPr>
          <w:rFonts w:ascii="Calibri" w:hAnsi="Calibri"/>
          <w:color w:val="525866"/>
          <w:sz w:val="22"/>
        </w:rPr>
        <w:t>TTD flagged CPG and auto as facing macro headwinds, while medical health, automotive (separately), and events showed strong growth. Meta’s advertiser mix is more diversified, but CPG is a meaningful vertical — any softness there could be a modest headwind.</w:t>
      </w:r>
    </w:p>
    <w:p>
      <w:pPr>
        <w:pStyle w:val="ListBullet"/>
        <w:ind w:left="360" w:hanging="360"/>
      </w:pPr>
      <w:r>
        <w:rPr>
          <w:rFonts w:ascii="Calibri" w:hAnsi="Calibri"/>
          <w:b/>
          <w:color w:val="525866"/>
          <w:sz w:val="22"/>
        </w:rPr>
        <w:t xml:space="preserve">Measurement is ‘broken’ — a headwind for all brand builders: </w:t>
      </w:r>
      <w:r>
        <w:rPr>
          <w:rFonts w:ascii="Calibri" w:hAnsi="Calibri"/>
          <w:color w:val="525866"/>
          <w:sz w:val="22"/>
        </w:rPr>
        <w:t>TTD’s CEO made a pointed argument that over-reliance on last-touch attribution is ‘bad for branding’ and ‘bad for premium inventory.’ This is a structural critique that, if addressed, would benefit Meta’s brand advertising business. Meta’s own measurement improvements (Advantage+ attribution, third-party integrations) are directly addressing this gap.</w:t>
      </w:r>
    </w:p>
    <w:p>
      <w:pPr>
        <w:pStyle w:val="ListBullet"/>
        <w:ind w:left="360" w:hanging="360"/>
      </w:pPr>
      <w:r>
        <w:rPr>
          <w:rFonts w:ascii="Calibri" w:hAnsi="Calibri"/>
          <w:b/>
          <w:color w:val="525866"/>
          <w:sz w:val="22"/>
        </w:rPr>
        <w:t xml:space="preserve">Agentic AI in advertising is in the ‘first inning’: </w:t>
      </w:r>
      <w:r>
        <w:rPr>
          <w:rFonts w:ascii="Calibri" w:hAnsi="Calibri"/>
          <w:color w:val="525866"/>
          <w:sz w:val="22"/>
        </w:rPr>
        <w:t>TTD characterized agentic AI’s impact on advertising as being in the ‘first inning,’ with significant opportunities ahead for programmatic platforms. This is consistent with Meta’s own framing of its agentic AI strategy as a multi-year monetization opportunity.</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Call Date</w:t>
            </w:r>
          </w:p>
        </w:tc>
        <w:tc>
          <w:tcPr>
            <w:tcW w:type="dxa" w:w="2160"/>
            <w:shd w:val="clear" w:color="auto" w:fill="3B4259"/>
          </w:tcPr>
          <w:p>
            <w:r>
              <w:rPr>
                <w:rFonts w:ascii="Calibri" w:hAnsi="Calibri"/>
                <w:b/>
                <w:color w:val="FFFFFF"/>
                <w:sz w:val="22"/>
              </w:rPr>
              <w:t>Key Q2 2026 Signal for META</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Alphabet (GOOGL)</w:t>
            </w:r>
          </w:p>
        </w:tc>
        <w:tc>
          <w:tcPr>
            <w:tcW w:type="dxa" w:w="2160"/>
          </w:tcPr>
          <w:p>
            <w:r>
              <w:rPr>
                <w:rFonts w:ascii="Calibri" w:hAnsi="Calibri"/>
                <w:sz w:val="22"/>
              </w:rPr>
              <w:t>Jul. 22, 2026</w:t>
            </w:r>
          </w:p>
        </w:tc>
        <w:tc>
          <w:tcPr>
            <w:tcW w:type="dxa" w:w="2160"/>
          </w:tcPr>
          <w:p>
            <w:r>
              <w:rPr>
                <w:rFonts w:ascii="Calibri" w:hAnsi="Calibri"/>
                <w:sz w:val="22"/>
              </w:rPr>
              <w:t>Digital ad market robust; Search +17%, YouTube +13%; AI tools driving 15%+ conversion lift; retail &amp; finance verticals strong; FIFA World Cup tailwind</w:t>
            </w:r>
          </w:p>
        </w:tc>
        <w:tc>
          <w:tcPr>
            <w:tcW w:type="dxa" w:w="2160"/>
          </w:tcPr>
          <w:p>
            <w:r>
              <w:rPr>
                <w:rFonts w:ascii="Calibri" w:hAnsi="Calibri"/>
                <w:b/>
                <w:color w:val="30A46C"/>
                <w:sz w:val="22"/>
              </w:rPr>
              <w:t>Positive</w:t>
            </w:r>
          </w:p>
        </w:tc>
      </w:tr>
      <w:tr>
        <w:tc>
          <w:tcPr>
            <w:tcW w:type="dxa" w:w="2160"/>
          </w:tcPr>
          <w:p>
            <w:r>
              <w:rPr>
                <w:rFonts w:ascii="Calibri" w:hAnsi="Calibri"/>
                <w:sz w:val="22"/>
              </w:rPr>
              <w:t>Netflix (NFLX)</w:t>
            </w:r>
          </w:p>
        </w:tc>
        <w:tc>
          <w:tcPr>
            <w:tcW w:type="dxa" w:w="2160"/>
          </w:tcPr>
          <w:p>
            <w:r>
              <w:rPr>
                <w:rFonts w:ascii="Calibri" w:hAnsi="Calibri"/>
                <w:sz w:val="22"/>
              </w:rPr>
              <w:t>Jul. 16, 2026</w:t>
            </w:r>
          </w:p>
        </w:tc>
        <w:tc>
          <w:tcPr>
            <w:tcW w:type="dxa" w:w="2160"/>
          </w:tcPr>
          <w:p>
            <w:r>
              <w:rPr>
                <w:rFonts w:ascii="Calibri" w:hAnsi="Calibri"/>
                <w:sz w:val="22"/>
              </w:rPr>
              <w:t>Strong advertiser demand; ad-supported tier ARM gap narrowing; premium video ad market healthy</w:t>
            </w:r>
          </w:p>
        </w:tc>
        <w:tc>
          <w:tcPr>
            <w:tcW w:type="dxa" w:w="2160"/>
          </w:tcPr>
          <w:p>
            <w:r>
              <w:rPr>
                <w:rFonts w:ascii="Calibri" w:hAnsi="Calibri"/>
                <w:b/>
                <w:color w:val="30A46C"/>
                <w:sz w:val="22"/>
              </w:rPr>
              <w:t>Positive</w:t>
            </w:r>
          </w:p>
        </w:tc>
      </w:tr>
      <w:tr>
        <w:tc>
          <w:tcPr>
            <w:tcW w:type="dxa" w:w="2160"/>
          </w:tcPr>
          <w:p>
            <w:r>
              <w:rPr>
                <w:rFonts w:ascii="Calibri" w:hAnsi="Calibri"/>
                <w:sz w:val="22"/>
              </w:rPr>
              <w:t>Snap (SNAP)</w:t>
            </w:r>
          </w:p>
        </w:tc>
        <w:tc>
          <w:tcPr>
            <w:tcW w:type="dxa" w:w="2160"/>
          </w:tcPr>
          <w:p>
            <w:r>
              <w:rPr>
                <w:rFonts w:ascii="Calibri" w:hAnsi="Calibri"/>
                <w:sz w:val="22"/>
              </w:rPr>
              <w:t>May 6, 2026</w:t>
            </w:r>
          </w:p>
        </w:tc>
        <w:tc>
          <w:tcPr>
            <w:tcW w:type="dxa" w:w="2160"/>
          </w:tcPr>
          <w:p>
            <w:r>
              <w:rPr>
                <w:rFonts w:ascii="Calibri" w:hAnsi="Calibri"/>
                <w:sz w:val="22"/>
              </w:rPr>
              <w:t>Q2 guide implies 2pp acceleration; SMB +30% YoY; large advertiser recovery ‘early and uneven’; Middle East headwind ~$20–25M; upfront commitments +10% YoY</w:t>
            </w:r>
          </w:p>
        </w:tc>
        <w:tc>
          <w:tcPr>
            <w:tcW w:type="dxa" w:w="2160"/>
          </w:tcPr>
          <w:p>
            <w:r>
              <w:rPr>
                <w:rFonts w:ascii="Calibri" w:hAnsi="Calibri"/>
                <w:b/>
                <w:color w:val="002FA7"/>
                <w:sz w:val="22"/>
              </w:rPr>
              <w:t>Mixed</w:t>
            </w:r>
          </w:p>
        </w:tc>
      </w:tr>
      <w:tr>
        <w:tc>
          <w:tcPr>
            <w:tcW w:type="dxa" w:w="2160"/>
          </w:tcPr>
          <w:p>
            <w:r>
              <w:rPr>
                <w:rFonts w:ascii="Calibri" w:hAnsi="Calibri"/>
                <w:sz w:val="22"/>
              </w:rPr>
              <w:t>Pinterest (PINS)</w:t>
            </w:r>
          </w:p>
        </w:tc>
        <w:tc>
          <w:tcPr>
            <w:tcW w:type="dxa" w:w="2160"/>
          </w:tcPr>
          <w:p>
            <w:r>
              <w:rPr>
                <w:rFonts w:ascii="Calibri" w:hAnsi="Calibri"/>
                <w:sz w:val="22"/>
              </w:rPr>
              <w:t>May 4, 2026</w:t>
            </w:r>
          </w:p>
        </w:tc>
        <w:tc>
          <w:tcPr>
            <w:tcW w:type="dxa" w:w="2160"/>
          </w:tcPr>
          <w:p>
            <w:r>
              <w:rPr>
                <w:rFonts w:ascii="Calibri" w:hAnsi="Calibri"/>
                <w:sz w:val="22"/>
              </w:rPr>
              <w:t>Ad market ‘relatively consistent’; large retailer tariff pressure stabilizing; Middle East impact small; AI bidding improvements offsetting headwinds; UCAN double-digit growth expected in Q2</w:t>
            </w:r>
          </w:p>
        </w:tc>
        <w:tc>
          <w:tcPr>
            <w:tcW w:type="dxa" w:w="2160"/>
          </w:tcPr>
          <w:p>
            <w:r>
              <w:rPr>
                <w:rFonts w:ascii="Calibri" w:hAnsi="Calibri"/>
                <w:b/>
                <w:color w:val="30A46C"/>
                <w:sz w:val="22"/>
              </w:rPr>
              <w:t>Neutral-Positive</w:t>
            </w:r>
          </w:p>
        </w:tc>
      </w:tr>
      <w:tr>
        <w:tc>
          <w:tcPr>
            <w:tcW w:type="dxa" w:w="2160"/>
          </w:tcPr>
          <w:p>
            <w:r>
              <w:rPr>
                <w:rFonts w:ascii="Calibri" w:hAnsi="Calibri"/>
                <w:sz w:val="22"/>
              </w:rPr>
              <w:t>Reddit (RDDT)</w:t>
            </w:r>
          </w:p>
        </w:tc>
        <w:tc>
          <w:tcPr>
            <w:tcW w:type="dxa" w:w="2160"/>
          </w:tcPr>
          <w:p>
            <w:r>
              <w:rPr>
                <w:rFonts w:ascii="Calibri" w:hAnsi="Calibri"/>
                <w:sz w:val="22"/>
              </w:rPr>
              <w:t>Apr. 30, 2026</w:t>
            </w:r>
          </w:p>
        </w:tc>
        <w:tc>
          <w:tcPr>
            <w:tcW w:type="dxa" w:w="2160"/>
          </w:tcPr>
          <w:p>
            <w:r>
              <w:rPr>
                <w:rFonts w:ascii="Calibri" w:hAnsi="Calibri"/>
                <w:sz w:val="22"/>
              </w:rPr>
              <w:t>Ad market ‘pretty stable’; advertisers planning shorter cycles; lower funnel revenue triple digits YoY; active advertiser count +75% YoY; no acute vertical weakness</w:t>
            </w:r>
          </w:p>
        </w:tc>
        <w:tc>
          <w:tcPr>
            <w:tcW w:type="dxa" w:w="2160"/>
          </w:tcPr>
          <w:p>
            <w:r>
              <w:rPr>
                <w:rFonts w:ascii="Calibri" w:hAnsi="Calibri"/>
                <w:b/>
                <w:color w:val="30A46C"/>
                <w:sz w:val="22"/>
              </w:rPr>
              <w:t>Neutral-Positive</w:t>
            </w:r>
          </w:p>
        </w:tc>
      </w:tr>
      <w:tr>
        <w:tc>
          <w:tcPr>
            <w:tcW w:type="dxa" w:w="2160"/>
          </w:tcPr>
          <w:p>
            <w:r>
              <w:rPr>
                <w:rFonts w:ascii="Calibri" w:hAnsi="Calibri"/>
                <w:sz w:val="22"/>
              </w:rPr>
              <w:t>The Trade Desk (TTD)</w:t>
            </w:r>
          </w:p>
        </w:tc>
        <w:tc>
          <w:tcPr>
            <w:tcW w:type="dxa" w:w="2160"/>
          </w:tcPr>
          <w:p>
            <w:r>
              <w:rPr>
                <w:rFonts w:ascii="Calibri" w:hAnsi="Calibri"/>
                <w:sz w:val="22"/>
              </w:rPr>
              <w:t>May 7, 2026</w:t>
            </w:r>
          </w:p>
        </w:tc>
        <w:tc>
          <w:tcPr>
            <w:tcW w:type="dxa" w:w="2160"/>
          </w:tcPr>
          <w:p>
            <w:r>
              <w:rPr>
                <w:rFonts w:ascii="Calibri" w:hAnsi="Calibri"/>
                <w:sz w:val="22"/>
              </w:rPr>
              <w:t>Macro headwinds from tariffs/geopolitics; record JBP signings; CPG/auto facing pressure; open Internet supply glut benefits walled gardens like Meta; agentic AI in ‘first inning’</w:t>
            </w:r>
          </w:p>
        </w:tc>
        <w:tc>
          <w:tcPr>
            <w:tcW w:type="dxa" w:w="2160"/>
          </w:tcPr>
          <w:p>
            <w:r>
              <w:rPr>
                <w:rFonts w:ascii="Calibri" w:hAnsi="Calibri"/>
                <w:b/>
                <w:color w:val="002FA7"/>
                <w:sz w:val="22"/>
              </w:rPr>
              <w:t>Mixed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routine 10b5-1 planned sales — no open-market discretionary buys or unusual sale clusters — and the pattern is entirely consistent with pre-scheduled selling programs; nothing in the insider data signals concern or unusual conviction in either direction.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~1,466 shares (direct + indirect)</w:t>
            </w:r>
          </w:p>
        </w:tc>
        <w:tc>
          <w:tcPr>
            <w:tcW w:type="dxa" w:w="1440"/>
          </w:tcPr>
          <w:p>
            <w:r>
              <w:rPr>
                <w:rFonts w:ascii="Calibri" w:hAnsi="Calibri"/>
                <w:sz w:val="22"/>
              </w:rPr>
              <w:t>Jul. 20, 2026</w:t>
            </w:r>
          </w:p>
        </w:tc>
        <w:tc>
          <w:tcPr>
            <w:tcW w:type="dxa" w:w="1440"/>
          </w:tcPr>
          <w:p>
            <w:r>
              <w:rPr>
                <w:rFonts w:ascii="Calibri" w:hAnsi="Calibri"/>
                <w:sz w:val="22"/>
              </w:rPr>
              <w:t>Routine pre-scheduled plan; multiple entity structures (self, LLCs, family trust)</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~2,163 shares (direct + indirect)</w:t>
            </w:r>
          </w:p>
        </w:tc>
        <w:tc>
          <w:tcPr>
            <w:tcW w:type="dxa" w:w="1440"/>
          </w:tcPr>
          <w:p>
            <w:r>
              <w:rPr>
                <w:rFonts w:ascii="Calibri" w:hAnsi="Calibri"/>
                <w:sz w:val="22"/>
              </w:rPr>
              <w:t>Jul. 13, 2026</w:t>
            </w:r>
          </w:p>
        </w:tc>
        <w:tc>
          <w:tcPr>
            <w:tcW w:type="dxa" w:w="1440"/>
          </w:tcPr>
          <w:p>
            <w:r>
              <w:rPr>
                <w:rFonts w:ascii="Calibri" w:hAnsi="Calibri"/>
                <w:sz w:val="22"/>
              </w:rPr>
              <w:t>Routine pre-scheduled plan; consistent weekly cadence</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~5,235 shares (direct + indirect)</w:t>
            </w:r>
          </w:p>
        </w:tc>
        <w:tc>
          <w:tcPr>
            <w:tcW w:type="dxa" w:w="1440"/>
          </w:tcPr>
          <w:p>
            <w:r>
              <w:rPr>
                <w:rFonts w:ascii="Calibri" w:hAnsi="Calibri"/>
                <w:sz w:val="22"/>
              </w:rPr>
              <w:t>Jul. 6, 2026</w:t>
            </w:r>
          </w:p>
        </w:tc>
        <w:tc>
          <w:tcPr>
            <w:tcW w:type="dxa" w:w="1440"/>
          </w:tcPr>
          <w:p>
            <w:r>
              <w:rPr>
                <w:rFonts w:ascii="Calibri" w:hAnsi="Calibri"/>
                <w:sz w:val="22"/>
              </w:rPr>
              <w:t>Routine pre-scheduled plan; larger tranche vs. weekly cadence</w:t>
            </w:r>
          </w:p>
        </w:tc>
      </w:tr>
      <w:tr>
        <w:tc>
          <w:tcPr>
            <w:tcW w:type="dxa" w:w="1440"/>
          </w:tcPr>
          <w:p>
            <w:r>
              <w:rPr>
                <w:rFonts w:ascii="Calibri" w:hAnsi="Calibri"/>
                <w:sz w:val="22"/>
              </w:rPr>
              <w:t>Kimmitt Robert M.</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500 shares</w:t>
            </w:r>
          </w:p>
        </w:tc>
        <w:tc>
          <w:tcPr>
            <w:tcW w:type="dxa" w:w="1440"/>
          </w:tcPr>
          <w:p>
            <w:r>
              <w:rPr>
                <w:rFonts w:ascii="Calibri" w:hAnsi="Calibri"/>
                <w:sz w:val="22"/>
              </w:rPr>
              <w:t>Jul. 1, 2026</w:t>
            </w:r>
          </w:p>
        </w:tc>
        <w:tc>
          <w:tcPr>
            <w:tcW w:type="dxa" w:w="1440"/>
          </w:tcPr>
          <w:p>
            <w:r>
              <w:rPr>
                <w:rFonts w:ascii="Calibri" w:hAnsi="Calibri"/>
                <w:sz w:val="22"/>
              </w:rPr>
              <w:t>Routine pre-scheduled plan; consistent with prior monthly cadence</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~1,398 shares (direct + indirect)</w:t>
            </w:r>
          </w:p>
        </w:tc>
        <w:tc>
          <w:tcPr>
            <w:tcW w:type="dxa" w:w="1440"/>
          </w:tcPr>
          <w:p>
            <w:r>
              <w:rPr>
                <w:rFonts w:ascii="Calibri" w:hAnsi="Calibri"/>
                <w:sz w:val="22"/>
              </w:rPr>
              <w:t>Jun. 15, 2026</w:t>
            </w:r>
          </w:p>
        </w:tc>
        <w:tc>
          <w:tcPr>
            <w:tcW w:type="dxa" w:w="1440"/>
          </w:tcPr>
          <w:p>
            <w:r>
              <w:rPr>
                <w:rFonts w:ascii="Calibri" w:hAnsi="Calibri"/>
                <w:sz w:val="22"/>
              </w:rPr>
              <w:t>Routine pre-scheduled plan</w:t>
            </w:r>
          </w:p>
        </w:tc>
      </w:tr>
      <w:tr>
        <w:tc>
          <w:tcPr>
            <w:tcW w:type="dxa" w:w="1440"/>
          </w:tcPr>
          <w:p>
            <w:r>
              <w:rPr>
                <w:rFonts w:ascii="Calibri" w:hAnsi="Calibri"/>
                <w:sz w:val="22"/>
              </w:rPr>
              <w:t>Kimmitt Robert M.</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504 shares</w:t>
            </w:r>
          </w:p>
        </w:tc>
        <w:tc>
          <w:tcPr>
            <w:tcW w:type="dxa" w:w="1440"/>
          </w:tcPr>
          <w:p>
            <w:r>
              <w:rPr>
                <w:rFonts w:ascii="Calibri" w:hAnsi="Calibri"/>
                <w:sz w:val="22"/>
              </w:rPr>
              <w:t>Jun. 1, 2026</w:t>
            </w:r>
          </w:p>
        </w:tc>
        <w:tc>
          <w:tcPr>
            <w:tcW w:type="dxa" w:w="1440"/>
          </w:tcPr>
          <w:p>
            <w:r>
              <w:rPr>
                <w:rFonts w:ascii="Calibri" w:hAnsi="Calibri"/>
                <w:sz w:val="22"/>
              </w:rPr>
              <w:t>Routine pre-scheduled plan; consistent monthly cadence</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837 shares (direct)</w:t>
            </w:r>
          </w:p>
        </w:tc>
        <w:tc>
          <w:tcPr>
            <w:tcW w:type="dxa" w:w="1440"/>
          </w:tcPr>
          <w:p>
            <w:r>
              <w:rPr>
                <w:rFonts w:ascii="Calibri" w:hAnsi="Calibri"/>
                <w:sz w:val="22"/>
              </w:rPr>
              <w:t>Jun. 1, 2026</w:t>
            </w:r>
          </w:p>
        </w:tc>
        <w:tc>
          <w:tcPr>
            <w:tcW w:type="dxa" w:w="1440"/>
          </w:tcPr>
          <w:p>
            <w:r>
              <w:rPr>
                <w:rFonts w:ascii="Calibri" w:hAnsi="Calibri"/>
                <w:sz w:val="22"/>
              </w:rPr>
              <w:t>Routine pre-scheduled plan</w:t>
            </w:r>
          </w:p>
        </w:tc>
      </w:tr>
      <w:tr>
        <w:tc>
          <w:tcPr>
            <w:tcW w:type="dxa" w:w="1440"/>
          </w:tcPr>
          <w:p>
            <w:r>
              <w:rPr>
                <w:rFonts w:ascii="Calibri" w:hAnsi="Calibri"/>
                <w:sz w:val="22"/>
              </w:rPr>
              <w:t>Mahoney Curtis J.</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2,079 shares</w:t>
            </w:r>
          </w:p>
        </w:tc>
        <w:tc>
          <w:tcPr>
            <w:tcW w:type="dxa" w:w="1440"/>
          </w:tcPr>
          <w:p>
            <w:r>
              <w:rPr>
                <w:rFonts w:ascii="Calibri" w:hAnsi="Calibri"/>
                <w:sz w:val="22"/>
              </w:rPr>
              <w:t>May 27, 2026</w:t>
            </w:r>
          </w:p>
        </w:tc>
        <w:tc>
          <w:tcPr>
            <w:tcW w:type="dxa" w:w="1440"/>
          </w:tcPr>
          <w:p>
            <w:r>
              <w:rPr>
                <w:rFonts w:ascii="Calibri" w:hAnsi="Calibri"/>
                <w:sz w:val="22"/>
              </w:rPr>
              <w:t>Routine pre-scheduled plan; CLO selling consistent with compensation vesting</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837 shares (direct)</w:t>
            </w:r>
          </w:p>
        </w:tc>
        <w:tc>
          <w:tcPr>
            <w:tcW w:type="dxa" w:w="1440"/>
          </w:tcPr>
          <w:p>
            <w:r>
              <w:rPr>
                <w:rFonts w:ascii="Calibri" w:hAnsi="Calibri"/>
                <w:sz w:val="22"/>
              </w:rPr>
              <w:t>May 26, 2026</w:t>
            </w:r>
          </w:p>
        </w:tc>
        <w:tc>
          <w:tcPr>
            <w:tcW w:type="dxa" w:w="1440"/>
          </w:tcPr>
          <w:p>
            <w:r>
              <w:rPr>
                <w:rFonts w:ascii="Calibri" w:hAnsi="Calibri"/>
                <w:sz w:val="22"/>
              </w:rPr>
              <w:t>Routine pre-scheduled plan</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~1,555 shares (direct + indirect)</w:t>
            </w:r>
          </w:p>
        </w:tc>
        <w:tc>
          <w:tcPr>
            <w:tcW w:type="dxa" w:w="1440"/>
          </w:tcPr>
          <w:p>
            <w:r>
              <w:rPr>
                <w:rFonts w:ascii="Calibri" w:hAnsi="Calibri"/>
                <w:sz w:val="22"/>
              </w:rPr>
              <w:t>May 11, 2026</w:t>
            </w:r>
          </w:p>
        </w:tc>
        <w:tc>
          <w:tcPr>
            <w:tcW w:type="dxa" w:w="1440"/>
          </w:tcPr>
          <w:p>
            <w:r>
              <w:rPr>
                <w:rFonts w:ascii="Calibri" w:hAnsi="Calibri"/>
                <w:sz w:val="22"/>
              </w:rPr>
              <w:t>Routine pre-scheduled plan</w:t>
            </w:r>
          </w:p>
        </w:tc>
      </w:tr>
      <w:tr>
        <w:tc>
          <w:tcPr>
            <w:tcW w:type="dxa" w:w="1440"/>
          </w:tcPr>
          <w:p>
            <w:r>
              <w:rPr>
                <w:rFonts w:ascii="Calibri" w:hAnsi="Calibri"/>
                <w:sz w:val="22"/>
              </w:rPr>
              <w:t>Olivan Javier</w:t>
            </w:r>
          </w:p>
        </w:tc>
        <w:tc>
          <w:tcPr>
            <w:tcW w:type="dxa" w:w="1440"/>
          </w:tcPr>
          <w:p>
            <w:r>
              <w:rPr>
                <w:rFonts w:ascii="Calibri" w:hAnsi="Calibri"/>
                <w:sz w:val="22"/>
              </w:rPr>
              <w:t>Chief Operating Officer</w:t>
            </w:r>
          </w:p>
        </w:tc>
        <w:tc>
          <w:tcPr>
            <w:tcW w:type="dxa" w:w="1440"/>
          </w:tcPr>
          <w:p>
            <w:r>
              <w:rPr>
                <w:rFonts w:ascii="Calibri" w:hAnsi="Calibri"/>
                <w:sz w:val="22"/>
              </w:rPr>
              <w:t>10b5-1 Planned Sale</w:t>
            </w:r>
          </w:p>
        </w:tc>
        <w:tc>
          <w:tcPr>
            <w:tcW w:type="dxa" w:w="1440"/>
          </w:tcPr>
          <w:p>
            <w:r>
              <w:rPr>
                <w:rFonts w:ascii="Calibri" w:hAnsi="Calibri"/>
                <w:sz w:val="22"/>
              </w:rPr>
              <w:t>~1,555 shares (direct + indirect)</w:t>
            </w:r>
          </w:p>
        </w:tc>
        <w:tc>
          <w:tcPr>
            <w:tcW w:type="dxa" w:w="1440"/>
          </w:tcPr>
          <w:p>
            <w:r>
              <w:rPr>
                <w:rFonts w:ascii="Calibri" w:hAnsi="Calibri"/>
                <w:sz w:val="22"/>
              </w:rPr>
              <w:t>May 4, 2026</w:t>
            </w:r>
          </w:p>
        </w:tc>
        <w:tc>
          <w:tcPr>
            <w:tcW w:type="dxa" w:w="1440"/>
          </w:tcPr>
          <w:p>
            <w:r>
              <w:rPr>
                <w:rFonts w:ascii="Calibri" w:hAnsi="Calibri"/>
                <w:sz w:val="22"/>
              </w:rPr>
              <w:t>Routine pre-scheduled plan</w:t>
            </w:r>
          </w:p>
        </w:tc>
      </w:tr>
      <w:tr>
        <w:tc>
          <w:tcPr>
            <w:tcW w:type="dxa" w:w="1440"/>
          </w:tcPr>
          <w:p>
            <w:r>
              <w:rPr>
                <w:rFonts w:ascii="Calibri" w:hAnsi="Calibri"/>
                <w:sz w:val="22"/>
              </w:rPr>
              <w:t>Alford Peggy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409 shares (indirect — family trust)</w:t>
            </w:r>
          </w:p>
        </w:tc>
        <w:tc>
          <w:tcPr>
            <w:tcW w:type="dxa" w:w="1440"/>
          </w:tcPr>
          <w:p>
            <w:r>
              <w:rPr>
                <w:rFonts w:ascii="Calibri" w:hAnsi="Calibri"/>
                <w:sz w:val="22"/>
              </w:rPr>
              <w:t>May 1, 2026</w:t>
            </w:r>
          </w:p>
        </w:tc>
        <w:tc>
          <w:tcPr>
            <w:tcW w:type="dxa" w:w="1440"/>
          </w:tcPr>
          <w:p>
            <w:r>
              <w:rPr>
                <w:rFonts w:ascii="Calibri" w:hAnsi="Calibri"/>
                <w:sz w:val="22"/>
              </w:rPr>
              <w:t>Routine pre-scheduled plan; trust-held shares</w:t>
            </w:r>
          </w:p>
        </w:tc>
      </w:tr>
    </w:tbl>
    <w:p>
      <w:r>
        <w:rPr>
          <w:rFonts w:ascii="Calibri" w:hAnsi="Calibri"/>
          <w:i/>
          <w:color w:val="525866"/>
          <w:sz w:val="22"/>
        </w:rPr>
        <w:t xml:space="preserve">All transactions since Q1 earnings (April 29, 2026) are 10b5-1 pre-scheduled sales — none are open-market discretionary transactions. The dominant seller is COO Javier Olivan, who sells on a consistent weekly-to-biweekly cadence across multiple entity structures (direct, LLCs, family trust), which is characteristic of a long-standing diversification program. Director Robert Kimmitt sells approximately 500 shares monthly. CLO Curtis Mahoney sold 2,079 shares in late May, consistent with compensation vesting. Director Peggy Alford sold 409 shares via a family trust in early May. Notably, there are </w:t>
      </w:r>
      <w:r>
        <w:rPr>
          <w:rFonts w:ascii="Calibri" w:hAnsi="Calibri"/>
          <w:b/>
          <w:i/>
          <w:color w:val="525866"/>
          <w:sz w:val="22"/>
        </w:rPr>
        <w:t>zero open-market buys</w:t>
      </w:r>
      <w:r>
        <w:rPr>
          <w:rFonts w:ascii="Calibri" w:hAnsi="Calibri"/>
          <w:i/>
          <w:color w:val="525866"/>
          <w:sz w:val="22"/>
        </w:rPr>
        <w:t xml:space="preserve"> from any insider during this period, which is the norm for mega-cap tech executives but worth noting given the stock’s ~11% decline since Q1 earnings. The absence of any discretionary buying at depressed prices is not a negative signal given the 10b5-1 plan structure, but it also provides no positive contrarian signal.</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