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Meta Platforms, Inc. (META)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Meta Platforms, Inc.</w:t>
            </w:r>
          </w:p>
        </w:tc>
      </w:tr>
      <w:tr>
        <w:tc>
          <w:tcPr>
            <w:tcW w:type="dxa" w:w="4320"/>
          </w:tcPr>
          <w:p>
            <w:r>
              <w:rPr>
                <w:rFonts w:ascii="Calibri" w:hAnsi="Calibri"/>
                <w:b/>
                <w:sz w:val="22"/>
              </w:rPr>
              <w:t>Ticker</w:t>
            </w:r>
          </w:p>
        </w:tc>
        <w:tc>
          <w:tcPr>
            <w:tcW w:type="dxa" w:w="4320"/>
          </w:tcPr>
          <w:p>
            <w:r>
              <w:rPr>
                <w:rFonts w:ascii="Calibri" w:hAnsi="Calibri"/>
                <w:sz w:val="22"/>
              </w:rPr>
              <w:t>META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after market close; call at 4:30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on core ad fundamentals but the single biggest swing factor is whether META raises 2026 capex guidance again — after Alphabet’s capex hike triggered a 7% sell-off this week, the market’s tolerance for open-ended infrastructure spending is at its lowest point in over a year.</w:t>
      </w:r>
    </w:p>
    <w:p>
      <w:r>
        <w:rPr>
          <w:rFonts w:ascii="Calibri" w:hAnsi="Calibri"/>
          <w:color w:val="525866"/>
          <w:sz w:val="22"/>
        </w:rPr>
        <w:t xml:space="preserve">Heading into Q2 2026, the bar for META’s core advertising business is achievable: consensus expects revenue of ~$60.2B (implying ~27% YoY growth) and ad impressions growth of ~13%, both of which are supported by the strong Q1 2026 exit rate (19% impression growth, 12% price-per-ad growth) and management’s own guidance range of $58–$61B. </w:t>
      </w:r>
      <w:r>
        <w:rPr>
          <w:rFonts w:ascii="Calibri" w:hAnsi="Calibri"/>
          <w:b/>
          <w:color w:val="525866"/>
          <w:sz w:val="22"/>
        </w:rPr>
        <w:t>Estimate revisions have been remarkably stable since the Q1 print</w:t>
      </w:r>
      <w:r>
        <w:rPr>
          <w:rFonts w:ascii="Calibri" w:hAnsi="Calibri"/>
          <w:color w:val="525866"/>
          <w:sz w:val="22"/>
        </w:rPr>
        <w:t xml:space="preserve"> — Q2 revenue consensus has moved only ~$0.1B higher since May 8 — suggesting the street is not chasing the print higher, which is a mild positive for the setup. Management’s tone on the Q1 call was confident on AI-driven ad monetization (value optimization suite at $20B+ ARR, partnerships ads at $10B ARR, 6%+ conversion rate lifts from Lattice/GEM model upgrades), and there is no evidence of a guidance revision since then. </w:t>
      </w:r>
      <w:r>
        <w:rPr>
          <w:rFonts w:ascii="Calibri" w:hAnsi="Calibri"/>
          <w:b/>
          <w:color w:val="525866"/>
          <w:sz w:val="22"/>
        </w:rPr>
        <w:t>The stock has underperformed significantly over the past 12 months (down ~17%), with multiple compression the dominant driver</w:t>
      </w:r>
      <w:r>
        <w:rPr>
          <w:rFonts w:ascii="Calibri" w:hAnsi="Calibri"/>
          <w:color w:val="525866"/>
          <w:sz w:val="22"/>
        </w:rPr>
        <w:t xml:space="preserve"> — NTM P/E has contracted from ~26x to ~17x — meaning the stock is not priced for perfection and a clean beat-and-raise on revenue could be rewarded. The wildcard is </w:t>
      </w:r>
      <w:r>
        <w:rPr>
          <w:rFonts w:ascii="Calibri" w:hAnsi="Calibri"/>
          <w:b/>
          <w:color w:val="525866"/>
          <w:sz w:val="22"/>
        </w:rPr>
        <w:t>capex guidance</w:t>
      </w:r>
      <w:r>
        <w:rPr>
          <w:rFonts w:ascii="Calibri" w:hAnsi="Calibri"/>
          <w:color w:val="525866"/>
          <w:sz w:val="22"/>
        </w:rPr>
        <w:t>: META’s 2026 capex range was already raised to $125–$145B at Q1, and with Alphabet raising its own capex by $15B this week and META simultaneously announcing a $14B El Paso data center with BlackRock and signaling it needs to raise hundreds of billions for its AI buildout, any further upward revision to the capex range — even a modest one — risks a sharp negative reaction given the market’s current hypersensitivity to hyperscaler spending.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on revenue (~$60.2B, within guidance range) and a high bar on ad impressions growth (~13% vs. 19% in Q1), making </w:t>
      </w:r>
    </w:p>
    <w:p>
      <w:r>
        <w:rPr>
          <w:rFonts w:ascii="Calibri" w:hAnsi="Calibri"/>
          <w:b/>
          <w:color w:val="525866"/>
          <w:sz w:val="22"/>
        </w:rPr>
        <w:t>ad impression growth the bigger swing factor</w:t>
      </w:r>
      <w:r>
        <w:rPr>
          <w:rFonts w:ascii="Calibri" w:hAnsi="Calibri"/>
          <w:color w:val="525866"/>
          <w:sz w:val="22"/>
        </w:rPr>
        <w:t xml:space="preserve"> — any deceleration below 12% would likely disappoint, while a re-acceleration toward 15%+ would be a clear positive. Average price per ad (~13% consensus) is the secondary lever and is well-supported by AI-driven conversion improvements.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Revenue ($B)</w:t>
            </w:r>
          </w:p>
        </w:tc>
        <w:tc>
          <w:tcPr>
            <w:tcW w:type="dxa" w:w="1234"/>
          </w:tcPr>
          <w:p>
            <w:r>
              <w:rPr>
                <w:rFonts w:ascii="Calibri" w:hAnsi="Calibri"/>
                <w:sz w:val="22"/>
              </w:rPr>
              <w:t>$56.31B</w:t>
            </w:r>
          </w:p>
        </w:tc>
        <w:tc>
          <w:tcPr>
            <w:tcW w:type="dxa" w:w="1234"/>
          </w:tcPr>
          <w:p>
            <w:r>
              <w:rPr>
                <w:rFonts w:ascii="Calibri" w:hAnsi="Calibri"/>
                <w:sz w:val="22"/>
              </w:rPr>
              <w:t>$47.52B</w:t>
            </w:r>
          </w:p>
        </w:tc>
        <w:tc>
          <w:tcPr>
            <w:tcW w:type="dxa" w:w="1234"/>
          </w:tcPr>
          <w:p>
            <w:r>
              <w:rPr>
                <w:rFonts w:ascii="Calibri" w:hAnsi="Calibri"/>
                <w:sz w:val="22"/>
              </w:rPr>
              <w:t>$60.23B</w:t>
            </w:r>
          </w:p>
        </w:tc>
        <w:tc>
          <w:tcPr>
            <w:tcW w:type="dxa" w:w="1234"/>
          </w:tcPr>
          <w:p>
            <w:r>
              <w:rPr>
                <w:rFonts w:ascii="Calibri" w:hAnsi="Calibri"/>
                <w:b/>
                <w:color w:val="30A46C"/>
                <w:sz w:val="22"/>
              </w:rPr>
              <w:t>+26.8% YoY</w:t>
            </w:r>
          </w:p>
        </w:tc>
        <w:tc>
          <w:tcPr>
            <w:tcW w:type="dxa" w:w="1234"/>
          </w:tcPr>
          <w:p>
            <w:r>
              <w:rPr>
                <w:rFonts w:ascii="Calibri" w:hAnsi="Calibri"/>
                <w:sz w:val="22"/>
              </w:rPr>
              <w:t>$58–$61B</w:t>
            </w:r>
          </w:p>
        </w:tc>
        <w:tc>
          <w:tcPr>
            <w:tcW w:type="dxa" w:w="1234"/>
          </w:tcPr>
          <w:p>
            <w:r>
              <w:rPr>
                <w:rFonts w:ascii="Calibri" w:hAnsi="Calibri"/>
                <w:sz w:val="22"/>
              </w:rPr>
              <w:t>+0.4% above midpoint</w:t>
            </w:r>
          </w:p>
        </w:tc>
      </w:tr>
      <w:tr>
        <w:tc>
          <w:tcPr>
            <w:tcW w:type="dxa" w:w="1234"/>
          </w:tcPr>
          <w:p>
            <w:r>
              <w:rPr>
                <w:rFonts w:ascii="Calibri" w:hAnsi="Calibri"/>
                <w:sz w:val="22"/>
              </w:rPr>
              <w:t>Advertising Revenue ($B)</w:t>
            </w:r>
          </w:p>
        </w:tc>
        <w:tc>
          <w:tcPr>
            <w:tcW w:type="dxa" w:w="1234"/>
          </w:tcPr>
          <w:p>
            <w:r>
              <w:rPr>
                <w:rFonts w:ascii="Calibri" w:hAnsi="Calibri"/>
                <w:sz w:val="22"/>
              </w:rPr>
              <w:t>$55.02B</w:t>
            </w:r>
          </w:p>
        </w:tc>
        <w:tc>
          <w:tcPr>
            <w:tcW w:type="dxa" w:w="1234"/>
          </w:tcPr>
          <w:p>
            <w:r>
              <w:rPr>
                <w:rFonts w:ascii="Calibri" w:hAnsi="Calibri"/>
                <w:sz w:val="22"/>
              </w:rPr>
              <w:t>$46.56B</w:t>
            </w:r>
          </w:p>
        </w:tc>
        <w:tc>
          <w:tcPr>
            <w:tcW w:type="dxa" w:w="1234"/>
          </w:tcPr>
          <w:p>
            <w:r>
              <w:rPr>
                <w:rFonts w:ascii="Calibri" w:hAnsi="Calibri"/>
                <w:sz w:val="22"/>
              </w:rPr>
              <w:t>$58.92B</w:t>
            </w:r>
          </w:p>
        </w:tc>
        <w:tc>
          <w:tcPr>
            <w:tcW w:type="dxa" w:w="1234"/>
          </w:tcPr>
          <w:p>
            <w:r>
              <w:rPr>
                <w:rFonts w:ascii="Calibri" w:hAnsi="Calibri"/>
                <w:b/>
                <w:color w:val="30A46C"/>
                <w:sz w:val="22"/>
              </w:rPr>
              <w:t>+26.6% YoY</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Ad Impressions Growth YoY (%)</w:t>
            </w:r>
          </w:p>
        </w:tc>
        <w:tc>
          <w:tcPr>
            <w:tcW w:type="dxa" w:w="1234"/>
          </w:tcPr>
          <w:p>
            <w:r>
              <w:rPr>
                <w:rFonts w:ascii="Calibri" w:hAnsi="Calibri"/>
                <w:sz w:val="22"/>
              </w:rPr>
              <w:t>+19%</w:t>
            </w:r>
          </w:p>
        </w:tc>
        <w:tc>
          <w:tcPr>
            <w:tcW w:type="dxa" w:w="1234"/>
          </w:tcPr>
          <w:p>
            <w:r>
              <w:rPr>
                <w:rFonts w:ascii="Calibri" w:hAnsi="Calibri"/>
                <w:sz w:val="22"/>
              </w:rPr>
              <w:t>+11%</w:t>
            </w:r>
          </w:p>
        </w:tc>
        <w:tc>
          <w:tcPr>
            <w:tcW w:type="dxa" w:w="1234"/>
          </w:tcPr>
          <w:p>
            <w:r>
              <w:rPr>
                <w:rFonts w:ascii="Calibri" w:hAnsi="Calibri"/>
                <w:sz w:val="22"/>
              </w:rPr>
              <w:t>~+13.2%</w:t>
            </w:r>
          </w:p>
        </w:tc>
        <w:tc>
          <w:tcPr>
            <w:tcW w:type="dxa" w:w="1234"/>
          </w:tcPr>
          <w:p>
            <w:r>
              <w:rPr>
                <w:rFonts w:ascii="Calibri" w:hAnsi="Calibri"/>
                <w:sz w:val="22"/>
              </w:rPr>
              <w:t>+2.2 pp vs. Q2 2025</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Avg. Price Per Ad Growth YoY (%)</w:t>
            </w:r>
          </w:p>
        </w:tc>
        <w:tc>
          <w:tcPr>
            <w:tcW w:type="dxa" w:w="1234"/>
          </w:tcPr>
          <w:p>
            <w:r>
              <w:rPr>
                <w:rFonts w:ascii="Calibri" w:hAnsi="Calibri"/>
                <w:sz w:val="22"/>
              </w:rPr>
              <w:t>+12%</w:t>
            </w:r>
          </w:p>
        </w:tc>
        <w:tc>
          <w:tcPr>
            <w:tcW w:type="dxa" w:w="1234"/>
          </w:tcPr>
          <w:p>
            <w:r>
              <w:rPr>
                <w:rFonts w:ascii="Calibri" w:hAnsi="Calibri"/>
                <w:sz w:val="22"/>
              </w:rPr>
              <w:t>+9%</w:t>
            </w:r>
          </w:p>
        </w:tc>
        <w:tc>
          <w:tcPr>
            <w:tcW w:type="dxa" w:w="1234"/>
          </w:tcPr>
          <w:p>
            <w:r>
              <w:rPr>
                <w:rFonts w:ascii="Calibri" w:hAnsi="Calibri"/>
                <w:sz w:val="22"/>
              </w:rPr>
              <w:t>~+12.7%</w:t>
            </w:r>
          </w:p>
        </w:tc>
        <w:tc>
          <w:tcPr>
            <w:tcW w:type="dxa" w:w="1234"/>
          </w:tcPr>
          <w:p>
            <w:r>
              <w:rPr>
                <w:rFonts w:ascii="Calibri" w:hAnsi="Calibri"/>
                <w:sz w:val="22"/>
              </w:rPr>
              <w:t>+3.7 pp vs. Q2 2025</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Operating Income ($B)</w:t>
            </w:r>
          </w:p>
        </w:tc>
        <w:tc>
          <w:tcPr>
            <w:tcW w:type="dxa" w:w="1234"/>
          </w:tcPr>
          <w:p>
            <w:r>
              <w:rPr>
                <w:rFonts w:ascii="Calibri" w:hAnsi="Calibri"/>
                <w:sz w:val="22"/>
              </w:rPr>
              <w:t>$22.87B</w:t>
            </w:r>
          </w:p>
        </w:tc>
        <w:tc>
          <w:tcPr>
            <w:tcW w:type="dxa" w:w="1234"/>
          </w:tcPr>
          <w:p>
            <w:r>
              <w:rPr>
                <w:rFonts w:ascii="Calibri" w:hAnsi="Calibri"/>
                <w:sz w:val="22"/>
              </w:rPr>
              <w:t>$20.44B</w:t>
            </w:r>
          </w:p>
        </w:tc>
        <w:tc>
          <w:tcPr>
            <w:tcW w:type="dxa" w:w="1234"/>
          </w:tcPr>
          <w:p>
            <w:r>
              <w:rPr>
                <w:rFonts w:ascii="Calibri" w:hAnsi="Calibri"/>
                <w:sz w:val="22"/>
              </w:rPr>
              <w:t>$21.49B</w:t>
            </w:r>
          </w:p>
        </w:tc>
        <w:tc>
          <w:tcPr>
            <w:tcW w:type="dxa" w:w="1234"/>
          </w:tcPr>
          <w:p>
            <w:r>
              <w:rPr>
                <w:rFonts w:ascii="Calibri" w:hAnsi="Calibri"/>
                <w:sz w:val="22"/>
              </w:rPr>
              <w:t>+5.1% YoY</w:t>
            </w:r>
          </w:p>
        </w:tc>
        <w:tc>
          <w:tcPr>
            <w:tcW w:type="dxa" w:w="1234"/>
          </w:tcPr>
          <w:p>
            <w:r>
              <w:rPr>
                <w:rFonts w:ascii="Calibri" w:hAnsi="Calibri"/>
                <w:sz w:val="22"/>
              </w:rPr>
              <w:t>Above 2025 full-year OI</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$7.31 (ex-tax benefit)</w:t>
            </w:r>
          </w:p>
        </w:tc>
        <w:tc>
          <w:tcPr>
            <w:tcW w:type="dxa" w:w="1234"/>
          </w:tcPr>
          <w:p>
            <w:r>
              <w:rPr>
                <w:rFonts w:ascii="Calibri" w:hAnsi="Calibri"/>
                <w:sz w:val="22"/>
              </w:rPr>
              <w:t>$7.14</w:t>
            </w:r>
          </w:p>
        </w:tc>
        <w:tc>
          <w:tcPr>
            <w:tcW w:type="dxa" w:w="1234"/>
          </w:tcPr>
          <w:p>
            <w:r>
              <w:rPr>
                <w:rFonts w:ascii="Calibri" w:hAnsi="Calibri"/>
                <w:sz w:val="22"/>
              </w:rPr>
              <w:t>$7.19</w:t>
            </w:r>
          </w:p>
        </w:tc>
        <w:tc>
          <w:tcPr>
            <w:tcW w:type="dxa" w:w="1234"/>
          </w:tcPr>
          <w:p>
            <w:r>
              <w:rPr>
                <w:rFonts w:ascii="Calibri" w:hAnsi="Calibri"/>
                <w:sz w:val="22"/>
              </w:rPr>
              <w:t>+0.7% YoY</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CapEx incl. Finance Leases ($B)</w:t>
            </w:r>
          </w:p>
        </w:tc>
        <w:tc>
          <w:tcPr>
            <w:tcW w:type="dxa" w:w="1234"/>
          </w:tcPr>
          <w:p>
            <w:r>
              <w:rPr>
                <w:rFonts w:ascii="Calibri" w:hAnsi="Calibri"/>
                <w:sz w:val="22"/>
              </w:rPr>
              <w:t>$19.84B</w:t>
            </w:r>
          </w:p>
        </w:tc>
        <w:tc>
          <w:tcPr>
            <w:tcW w:type="dxa" w:w="1234"/>
          </w:tcPr>
          <w:p>
            <w:r>
              <w:rPr>
                <w:rFonts w:ascii="Calibri" w:hAnsi="Calibri"/>
                <w:sz w:val="22"/>
              </w:rPr>
              <w:t>$17.01B</w:t>
            </w:r>
          </w:p>
        </w:tc>
        <w:tc>
          <w:tcPr>
            <w:tcW w:type="dxa" w:w="1234"/>
          </w:tcPr>
          <w:p>
            <w:r>
              <w:rPr>
                <w:rFonts w:ascii="Calibri" w:hAnsi="Calibri"/>
                <w:sz w:val="22"/>
              </w:rPr>
              <w:t>~$33.3B</w:t>
            </w:r>
          </w:p>
        </w:tc>
        <w:tc>
          <w:tcPr>
            <w:tcW w:type="dxa" w:w="1234"/>
          </w:tcPr>
          <w:p>
            <w:r>
              <w:rPr>
                <w:rFonts w:ascii="Calibri" w:hAnsi="Calibri"/>
                <w:b/>
                <w:color w:val="E5484D"/>
                <w:sz w:val="22"/>
              </w:rPr>
              <w:t>+95.7% YoY</w:t>
            </w:r>
          </w:p>
        </w:tc>
        <w:tc>
          <w:tcPr>
            <w:tcW w:type="dxa" w:w="1234"/>
          </w:tcPr>
          <w:p>
            <w:r>
              <w:rPr>
                <w:rFonts w:ascii="Calibri" w:hAnsi="Calibri"/>
                <w:sz w:val="22"/>
              </w:rPr>
              <w:t>$125–$145B FY 2026</w:t>
            </w:r>
          </w:p>
        </w:tc>
        <w:tc>
          <w:tcPr>
            <w:tcW w:type="dxa" w:w="1234"/>
          </w:tcPr>
          <w:p>
            <w:r>
              <w:rPr>
                <w:rFonts w:ascii="Calibri" w:hAnsi="Calibri"/>
                <w:sz w:val="22"/>
              </w:rPr>
              <w:t>N/A (FY guidance)</w:t>
            </w:r>
          </w:p>
        </w:tc>
      </w:tr>
    </w:tbl>
    <w:p>
      <w:r>
        <w:rPr>
          <w:rFonts w:ascii="Calibri" w:hAnsi="Calibri"/>
          <w:i/>
          <w:color w:val="525866"/>
          <w:sz w:val="22"/>
        </w:rPr>
        <w:t>Sources: Visible Alpha Consensus and Actuals Data (Revenue, Advertising Revenue, Ad Impressions Growth, Avg. Price Per Ad Growth, Operating Income, EPS — Diluted, CapEx); Meta Q1 2026 Earnings Release and Transcript (guidance figures). Q1 2026 EPS ex-tax benefit per company disclosure ($10.44 reported less $3.13 tax benefit impact = $7.31 adjusted). Q2 2026 consensus EPS reflects operating/adjusted basis.</w:t>
      </w:r>
    </w:p>
    <w:p>
      <w:pPr>
        <w:pStyle w:val="Heading3"/>
      </w:pPr>
      <w:r>
        <w:rPr>
          <w:rFonts w:ascii="Calibri" w:hAnsi="Calibri"/>
          <w:b/>
          <w:color w:val="3B4259"/>
          <w:sz w:val="24"/>
        </w:rPr>
        <w:t>Table 2 — Beat/Miss History: Top 2 KPIs (Last 8 Quarters)</w:t>
      </w:r>
    </w:p>
    <w:p>
      <w:pPr>
        <w:pStyle w:val="Heading4"/>
      </w:pPr>
      <w:r>
        <w:rPr>
          <w:rFonts w:ascii="Calibri" w:hAnsi="Calibri"/>
          <w:b/>
          <w:color w:val="3B4259"/>
          <w:sz w:val="22"/>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$56.31B</w:t>
            </w:r>
          </w:p>
        </w:tc>
        <w:tc>
          <w:tcPr>
            <w:tcW w:type="dxa" w:w="1728"/>
          </w:tcPr>
          <w:p>
            <w:r>
              <w:rPr>
                <w:rFonts w:ascii="Calibri" w:hAnsi="Calibri"/>
                <w:sz w:val="22"/>
              </w:rPr>
              <w:t>$55.55B</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$59.89B</w:t>
            </w:r>
          </w:p>
        </w:tc>
        <w:tc>
          <w:tcPr>
            <w:tcW w:type="dxa" w:w="1728"/>
          </w:tcPr>
          <w:p>
            <w:r>
              <w:rPr>
                <w:rFonts w:ascii="Calibri" w:hAnsi="Calibri"/>
                <w:sz w:val="22"/>
              </w:rPr>
              <w:t>$58.45B</w:t>
            </w:r>
          </w:p>
        </w:tc>
        <w:tc>
          <w:tcPr>
            <w:tcW w:type="dxa" w:w="1728"/>
          </w:tcPr>
          <w:p>
            <w:r>
              <w:rPr>
                <w:rFonts w:ascii="Calibri" w:hAnsi="Calibri"/>
                <w:b/>
                <w:color w:val="30A46C"/>
                <w:sz w:val="22"/>
              </w:rPr>
              <w:t>+2.5%</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$51.24B</w:t>
            </w:r>
          </w:p>
        </w:tc>
        <w:tc>
          <w:tcPr>
            <w:tcW w:type="dxa" w:w="1728"/>
          </w:tcPr>
          <w:p>
            <w:r>
              <w:rPr>
                <w:rFonts w:ascii="Calibri" w:hAnsi="Calibri"/>
                <w:sz w:val="22"/>
              </w:rPr>
              <w:t>$49.59B</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$47.52B</w:t>
            </w:r>
          </w:p>
        </w:tc>
        <w:tc>
          <w:tcPr>
            <w:tcW w:type="dxa" w:w="1728"/>
          </w:tcPr>
          <w:p>
            <w:r>
              <w:rPr>
                <w:rFonts w:ascii="Calibri" w:hAnsi="Calibri"/>
                <w:sz w:val="22"/>
              </w:rPr>
              <w:t>$44.83B</w:t>
            </w:r>
          </w:p>
        </w:tc>
        <w:tc>
          <w:tcPr>
            <w:tcW w:type="dxa" w:w="1728"/>
          </w:tcPr>
          <w:p>
            <w:r>
              <w:rPr>
                <w:rFonts w:ascii="Calibri" w:hAnsi="Calibri"/>
                <w:b/>
                <w:color w:val="30A46C"/>
                <w:sz w:val="22"/>
              </w:rPr>
              <w:t>+6.0%</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$42.31B</w:t>
            </w:r>
          </w:p>
        </w:tc>
        <w:tc>
          <w:tcPr>
            <w:tcW w:type="dxa" w:w="1728"/>
          </w:tcPr>
          <w:p>
            <w:r>
              <w:rPr>
                <w:rFonts w:ascii="Calibri" w:hAnsi="Calibri"/>
                <w:sz w:val="22"/>
              </w:rPr>
              <w:t>$41.35B</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$48.39B</w:t>
            </w:r>
          </w:p>
        </w:tc>
        <w:tc>
          <w:tcPr>
            <w:tcW w:type="dxa" w:w="1728"/>
          </w:tcPr>
          <w:p>
            <w:r>
              <w:rPr>
                <w:rFonts w:ascii="Calibri" w:hAnsi="Calibri"/>
                <w:sz w:val="22"/>
              </w:rPr>
              <w:t>$47.04B</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$40.59B</w:t>
            </w:r>
          </w:p>
        </w:tc>
        <w:tc>
          <w:tcPr>
            <w:tcW w:type="dxa" w:w="1728"/>
          </w:tcPr>
          <w:p>
            <w:r>
              <w:rPr>
                <w:rFonts w:ascii="Calibri" w:hAnsi="Calibri"/>
                <w:sz w:val="22"/>
              </w:rPr>
              <w:t>$40.27B</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$39.07B*</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*Q2 2024 prior-year comparison period; beat/miss data not available for that period in this context. Source: Visible Alpha Consensus and Actuals Data.</w:t>
      </w:r>
    </w:p>
    <w:p>
      <w:r>
        <w:rPr>
          <w:rFonts w:ascii="Calibri" w:hAnsi="Calibri"/>
          <w:b/>
          <w:color w:val="525866"/>
          <w:sz w:val="22"/>
        </w:rPr>
        <w:t xml:space="preserve">Pattern: </w:t>
      </w:r>
      <w:r>
        <w:rPr>
          <w:rFonts w:ascii="Calibri" w:hAnsi="Calibri"/>
          <w:color w:val="525866"/>
          <w:sz w:val="22"/>
        </w:rPr>
        <w:t>META has beaten revenue consensus in every one of the last 7 reported quarters, with surprise magnitudes ranging from +0.8% to +6.0% — a remarkably consistent track record that sets a high implicit expectation for another beat in Q2 2026.</w:t>
      </w:r>
    </w:p>
    <w:p>
      <w:pPr>
        <w:pStyle w:val="Heading4"/>
      </w:pPr>
      <w:r>
        <w:rPr>
          <w:rFonts w:ascii="Calibri" w:hAnsi="Calibri"/>
          <w:b/>
          <w:color w:val="3B4259"/>
          <w:sz w:val="22"/>
        </w:rPr>
        <w:t>Ad Impressions YoY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w:t>
            </w:r>
          </w:p>
        </w:tc>
        <w:tc>
          <w:tcPr>
            <w:tcW w:type="dxa" w:w="1728"/>
          </w:tcPr>
          <w:p>
            <w:r>
              <w:rPr>
                <w:rFonts w:ascii="Calibri" w:hAnsi="Calibri"/>
                <w:sz w:val="22"/>
              </w:rPr>
              <w:t>~+15.8%</w:t>
            </w:r>
          </w:p>
        </w:tc>
        <w:tc>
          <w:tcPr>
            <w:tcW w:type="dxa" w:w="1728"/>
          </w:tcPr>
          <w:p>
            <w:r>
              <w:rPr>
                <w:rFonts w:ascii="Calibri" w:hAnsi="Calibri"/>
                <w:b/>
                <w:color w:val="30A46C"/>
                <w:sz w:val="22"/>
              </w:rPr>
              <w:t>+3.2 pp</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+18%</w:t>
            </w:r>
          </w:p>
        </w:tc>
        <w:tc>
          <w:tcPr>
            <w:tcW w:type="dxa" w:w="1728"/>
          </w:tcPr>
          <w:p>
            <w:r>
              <w:rPr>
                <w:rFonts w:ascii="Calibri" w:hAnsi="Calibri"/>
                <w:sz w:val="22"/>
              </w:rPr>
              <w:t>~+12.1%</w:t>
            </w:r>
          </w:p>
        </w:tc>
        <w:tc>
          <w:tcPr>
            <w:tcW w:type="dxa" w:w="1728"/>
          </w:tcPr>
          <w:p>
            <w:r>
              <w:rPr>
                <w:rFonts w:ascii="Calibri" w:hAnsi="Calibri"/>
                <w:b/>
                <w:color w:val="30A46C"/>
                <w:sz w:val="22"/>
              </w:rPr>
              <w:t>+5.9 pp</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+14%</w:t>
            </w:r>
          </w:p>
        </w:tc>
        <w:tc>
          <w:tcPr>
            <w:tcW w:type="dxa" w:w="1728"/>
          </w:tcPr>
          <w:p>
            <w:r>
              <w:rPr>
                <w:rFonts w:ascii="Calibri" w:hAnsi="Calibri"/>
                <w:sz w:val="22"/>
              </w:rPr>
              <w:t>~+10.7%</w:t>
            </w:r>
          </w:p>
        </w:tc>
        <w:tc>
          <w:tcPr>
            <w:tcW w:type="dxa" w:w="1728"/>
          </w:tcPr>
          <w:p>
            <w:r>
              <w:rPr>
                <w:rFonts w:ascii="Calibri" w:hAnsi="Calibri"/>
                <w:b/>
                <w:color w:val="30A46C"/>
                <w:sz w:val="22"/>
              </w:rPr>
              <w:t>+3.3 pp</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+11%</w:t>
            </w:r>
          </w:p>
        </w:tc>
        <w:tc>
          <w:tcPr>
            <w:tcW w:type="dxa" w:w="1728"/>
          </w:tcPr>
          <w:p>
            <w:r>
              <w:rPr>
                <w:rFonts w:ascii="Calibri" w:hAnsi="Calibri"/>
                <w:sz w:val="22"/>
              </w:rPr>
              <w:t>~+7.5%</w:t>
            </w:r>
          </w:p>
        </w:tc>
        <w:tc>
          <w:tcPr>
            <w:tcW w:type="dxa" w:w="1728"/>
          </w:tcPr>
          <w:p>
            <w:r>
              <w:rPr>
                <w:rFonts w:ascii="Calibri" w:hAnsi="Calibri"/>
                <w:b/>
                <w:color w:val="30A46C"/>
                <w:sz w:val="22"/>
              </w:rPr>
              <w:t>+3.5 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+5%</w:t>
            </w:r>
          </w:p>
        </w:tc>
        <w:tc>
          <w:tcPr>
            <w:tcW w:type="dxa" w:w="1728"/>
          </w:tcPr>
          <w:p>
            <w:r>
              <w:rPr>
                <w:rFonts w:ascii="Calibri" w:hAnsi="Calibri"/>
                <w:sz w:val="22"/>
              </w:rPr>
              <w:t>~+8.3%</w:t>
            </w:r>
          </w:p>
        </w:tc>
        <w:tc>
          <w:tcPr>
            <w:tcW w:type="dxa" w:w="1728"/>
          </w:tcPr>
          <w:p>
            <w:r>
              <w:rPr>
                <w:rFonts w:ascii="Calibri" w:hAnsi="Calibri"/>
                <w:b/>
                <w:color w:val="E5484D"/>
                <w:sz w:val="22"/>
              </w:rPr>
              <w:t>-3.3 pp</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+6%</w:t>
            </w:r>
          </w:p>
        </w:tc>
        <w:tc>
          <w:tcPr>
            <w:tcW w:type="dxa" w:w="1728"/>
          </w:tcPr>
          <w:p>
            <w:r>
              <w:rPr>
                <w:rFonts w:ascii="Calibri" w:hAnsi="Calibri"/>
                <w:sz w:val="22"/>
              </w:rPr>
              <w:t>~+10.4%</w:t>
            </w:r>
          </w:p>
        </w:tc>
        <w:tc>
          <w:tcPr>
            <w:tcW w:type="dxa" w:w="1728"/>
          </w:tcPr>
          <w:p>
            <w:r>
              <w:rPr>
                <w:rFonts w:ascii="Calibri" w:hAnsi="Calibri"/>
                <w:b/>
                <w:color w:val="E5484D"/>
                <w:sz w:val="22"/>
              </w:rPr>
              <w:t>-4.4 pp</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+7%</w:t>
            </w:r>
          </w:p>
        </w:tc>
        <w:tc>
          <w:tcPr>
            <w:tcW w:type="dxa" w:w="1728"/>
          </w:tcPr>
          <w:p>
            <w:r>
              <w:rPr>
                <w:rFonts w:ascii="Calibri" w:hAnsi="Calibri"/>
                <w:sz w:val="22"/>
              </w:rPr>
              <w:t>~+11.5%</w:t>
            </w:r>
          </w:p>
        </w:tc>
        <w:tc>
          <w:tcPr>
            <w:tcW w:type="dxa" w:w="1728"/>
          </w:tcPr>
          <w:p>
            <w:r>
              <w:rPr>
                <w:rFonts w:ascii="Calibri" w:hAnsi="Calibri"/>
                <w:b/>
                <w:color w:val="E5484D"/>
                <w:sz w:val="22"/>
              </w:rPr>
              <w:t>-4.5 pp</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 2026 have been </w:t>
      </w:r>
    </w:p>
    <w:p>
      <w:r>
        <w:rPr>
          <w:rFonts w:ascii="Calibri" w:hAnsi="Calibri"/>
          <w:b/>
          <w:color w:val="525866"/>
          <w:sz w:val="22"/>
        </w:rPr>
        <w:t>remarkably stable since the Q1 print</w:t>
      </w:r>
      <w:r>
        <w:rPr>
          <w:rFonts w:ascii="Calibri" w:hAnsi="Calibri"/>
          <w:color w:val="525866"/>
          <w:sz w:val="22"/>
        </w:rPr>
        <w:t xml:space="preserve"> — Q2 revenue consensus has risen only ~$0.1B (+0.1%) and FY 2026 revenue only ~$0.3B (+0.1%) since May 8 — suggesting the street is not pricing in upside and the bar is not elevated. The gap between consensus and guidance midpoint is thin (+1.2% on revenue), leaving little cushion if management guides conservatively on Q3.</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 Q1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(Q2 2026)</w:t>
            </w:r>
          </w:p>
        </w:tc>
        <w:tc>
          <w:tcPr>
            <w:tcW w:type="dxa" w:w="1080"/>
          </w:tcPr>
          <w:p>
            <w:r>
              <w:rPr>
                <w:rFonts w:ascii="Calibri" w:hAnsi="Calibri"/>
                <w:sz w:val="22"/>
              </w:rPr>
              <w:t>$60.14B</w:t>
            </w:r>
          </w:p>
        </w:tc>
        <w:tc>
          <w:tcPr>
            <w:tcW w:type="dxa" w:w="1080"/>
          </w:tcPr>
          <w:p>
            <w:r>
              <w:rPr>
                <w:rFonts w:ascii="Calibri" w:hAnsi="Calibri"/>
                <w:sz w:val="22"/>
              </w:rPr>
              <w:t>$60.23B</w:t>
            </w:r>
          </w:p>
        </w:tc>
        <w:tc>
          <w:tcPr>
            <w:tcW w:type="dxa" w:w="1080"/>
          </w:tcPr>
          <w:p>
            <w:r>
              <w:rPr>
                <w:rFonts w:ascii="Calibri" w:hAnsi="Calibri"/>
                <w:sz w:val="22"/>
              </w:rPr>
              <w:t>+0.1%</w:t>
            </w:r>
          </w:p>
        </w:tc>
        <w:tc>
          <w:tcPr>
            <w:tcW w:type="dxa" w:w="1080"/>
          </w:tcPr>
          <w:p>
            <w:r>
              <w:rPr>
                <w:rFonts w:ascii="Calibri" w:hAnsi="Calibri"/>
                <w:sz w:val="22"/>
              </w:rPr>
              <w:t>$58–$61B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midpoint ($59.5B)</w:t>
            </w:r>
          </w:p>
        </w:tc>
      </w:tr>
      <w:tr>
        <w:tc>
          <w:tcPr>
            <w:tcW w:type="dxa" w:w="1080"/>
          </w:tcPr>
          <w:p>
            <w:r>
              <w:rPr>
                <w:rFonts w:ascii="Calibri" w:hAnsi="Calibri"/>
                <w:sz w:val="22"/>
              </w:rPr>
              <w:t>Revenue (FY 2026)</w:t>
            </w:r>
          </w:p>
        </w:tc>
        <w:tc>
          <w:tcPr>
            <w:tcW w:type="dxa" w:w="1080"/>
          </w:tcPr>
          <w:p>
            <w:r>
              <w:rPr>
                <w:rFonts w:ascii="Calibri" w:hAnsi="Calibri"/>
                <w:sz w:val="22"/>
              </w:rPr>
              <w:t>$252.68B</w:t>
            </w:r>
          </w:p>
        </w:tc>
        <w:tc>
          <w:tcPr>
            <w:tcW w:type="dxa" w:w="1080"/>
          </w:tcPr>
          <w:p>
            <w:r>
              <w:rPr>
                <w:rFonts w:ascii="Calibri" w:hAnsi="Calibri"/>
                <w:sz w:val="22"/>
              </w:rPr>
              <w:t>$253.01B</w:t>
            </w:r>
          </w:p>
        </w:tc>
        <w:tc>
          <w:tcPr>
            <w:tcW w:type="dxa" w:w="1080"/>
          </w:tcPr>
          <w:p>
            <w:r>
              <w:rPr>
                <w:rFonts w:ascii="Calibri" w:hAnsi="Calibri"/>
                <w:sz w:val="22"/>
              </w:rPr>
              <w:t>+0.1%</w:t>
            </w:r>
          </w:p>
        </w:tc>
        <w:tc>
          <w:tcPr>
            <w:tcW w:type="dxa" w:w="1080"/>
          </w:tcPr>
          <w:p>
            <w:r>
              <w:rPr>
                <w:rFonts w:ascii="Calibri" w:hAnsi="Calibri"/>
                <w:sz w:val="22"/>
              </w:rPr>
              <w:t>Not guided (FY)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Advertising Revenue (Q2 2026)</w:t>
            </w:r>
          </w:p>
        </w:tc>
        <w:tc>
          <w:tcPr>
            <w:tcW w:type="dxa" w:w="1080"/>
          </w:tcPr>
          <w:p>
            <w:r>
              <w:rPr>
                <w:rFonts w:ascii="Calibri" w:hAnsi="Calibri"/>
                <w:sz w:val="22"/>
              </w:rPr>
              <w:t>$58.86B</w:t>
            </w:r>
          </w:p>
        </w:tc>
        <w:tc>
          <w:tcPr>
            <w:tcW w:type="dxa" w:w="1080"/>
          </w:tcPr>
          <w:p>
            <w:r>
              <w:rPr>
                <w:rFonts w:ascii="Calibri" w:hAnsi="Calibri"/>
                <w:sz w:val="22"/>
              </w:rPr>
              <w:t>$58.92B</w:t>
            </w:r>
          </w:p>
        </w:tc>
        <w:tc>
          <w:tcPr>
            <w:tcW w:type="dxa" w:w="1080"/>
          </w:tcPr>
          <w:p>
            <w:r>
              <w:rPr>
                <w:rFonts w:ascii="Calibri" w:hAnsi="Calibri"/>
                <w:sz w:val="22"/>
              </w:rPr>
              <w:t>+0.1%</w:t>
            </w:r>
          </w:p>
        </w:tc>
        <w:tc>
          <w:tcPr>
            <w:tcW w:type="dxa" w:w="1080"/>
          </w:tcPr>
          <w:p>
            <w:r>
              <w:rPr>
                <w:rFonts w:ascii="Calibri" w:hAnsi="Calibri"/>
                <w:sz w:val="22"/>
              </w:rPr>
              <w:t>Not guided separately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Advertising Revenue (FY 2026)</w:t>
            </w:r>
          </w:p>
        </w:tc>
        <w:tc>
          <w:tcPr>
            <w:tcW w:type="dxa" w:w="1080"/>
          </w:tcPr>
          <w:p>
            <w:r>
              <w:rPr>
                <w:rFonts w:ascii="Calibri" w:hAnsi="Calibri"/>
                <w:sz w:val="22"/>
              </w:rPr>
              <w:t>$246.41B</w:t>
            </w:r>
          </w:p>
        </w:tc>
        <w:tc>
          <w:tcPr>
            <w:tcW w:type="dxa" w:w="1080"/>
          </w:tcPr>
          <w:p>
            <w:r>
              <w:rPr>
                <w:rFonts w:ascii="Calibri" w:hAnsi="Calibri"/>
                <w:sz w:val="22"/>
              </w:rPr>
              <w:t>$246.62B</w:t>
            </w:r>
          </w:p>
        </w:tc>
        <w:tc>
          <w:tcPr>
            <w:tcW w:type="dxa" w:w="1080"/>
          </w:tcPr>
          <w:p>
            <w:r>
              <w:rPr>
                <w:rFonts w:ascii="Calibri" w:hAnsi="Calibri"/>
                <w:sz w:val="22"/>
              </w:rPr>
              <w:t>+0.1%</w:t>
            </w:r>
          </w:p>
        </w:tc>
        <w:tc>
          <w:tcPr>
            <w:tcW w:type="dxa" w:w="1080"/>
          </w:tcPr>
          <w:p>
            <w:r>
              <w:rPr>
                <w:rFonts w:ascii="Calibri" w:hAnsi="Calibri"/>
                <w:sz w:val="22"/>
              </w:rPr>
              <w:t>Not guided separately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(Q2 2026)</w:t>
            </w:r>
          </w:p>
        </w:tc>
        <w:tc>
          <w:tcPr>
            <w:tcW w:type="dxa" w:w="1080"/>
          </w:tcPr>
          <w:p>
            <w:r>
              <w:rPr>
                <w:rFonts w:ascii="Calibri" w:hAnsi="Calibri"/>
                <w:sz w:val="22"/>
              </w:rPr>
              <w:t>$7.20</w:t>
            </w:r>
          </w:p>
        </w:tc>
        <w:tc>
          <w:tcPr>
            <w:tcW w:type="dxa" w:w="1080"/>
          </w:tcPr>
          <w:p>
            <w:r>
              <w:rPr>
                <w:rFonts w:ascii="Calibri" w:hAnsi="Calibri"/>
                <w:sz w:val="22"/>
              </w:rPr>
              <w:t>$7.19</w:t>
            </w:r>
          </w:p>
        </w:tc>
        <w:tc>
          <w:tcPr>
            <w:tcW w:type="dxa" w:w="1080"/>
          </w:tcPr>
          <w:p>
            <w:r>
              <w:rPr>
                <w:rFonts w:ascii="Calibri" w:hAnsi="Calibri"/>
                <w:sz w:val="22"/>
              </w:rPr>
              <w:t>-0.1%</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(FY 2026)</w:t>
            </w:r>
          </w:p>
        </w:tc>
        <w:tc>
          <w:tcPr>
            <w:tcW w:type="dxa" w:w="1080"/>
          </w:tcPr>
          <w:p>
            <w:r>
              <w:rPr>
                <w:rFonts w:ascii="Calibri" w:hAnsi="Calibri"/>
                <w:sz w:val="22"/>
              </w:rPr>
              <w:t>$32.97</w:t>
            </w:r>
          </w:p>
        </w:tc>
        <w:tc>
          <w:tcPr>
            <w:tcW w:type="dxa" w:w="1080"/>
          </w:tcPr>
          <w:p>
            <w:r>
              <w:rPr>
                <w:rFonts w:ascii="Calibri" w:hAnsi="Calibri"/>
                <w:sz w:val="22"/>
              </w:rPr>
              <w:t>$33.10</w:t>
            </w:r>
          </w:p>
        </w:tc>
        <w:tc>
          <w:tcPr>
            <w:tcW w:type="dxa" w:w="1080"/>
          </w:tcPr>
          <w:p>
            <w:r>
              <w:rPr>
                <w:rFonts w:ascii="Calibri" w:hAnsi="Calibri"/>
                <w:sz w:val="22"/>
              </w:rPr>
              <w:t>+0.4%</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CapEx incl. Finance Leases (Q2 2026)</w:t>
            </w:r>
          </w:p>
        </w:tc>
        <w:tc>
          <w:tcPr>
            <w:tcW w:type="dxa" w:w="1080"/>
          </w:tcPr>
          <w:p>
            <w:r>
              <w:rPr>
                <w:rFonts w:ascii="Calibri" w:hAnsi="Calibri"/>
                <w:sz w:val="22"/>
              </w:rPr>
              <w:t>$32.91B</w:t>
            </w:r>
          </w:p>
        </w:tc>
        <w:tc>
          <w:tcPr>
            <w:tcW w:type="dxa" w:w="1080"/>
          </w:tcPr>
          <w:p>
            <w:r>
              <w:rPr>
                <w:rFonts w:ascii="Calibri" w:hAnsi="Calibri"/>
                <w:sz w:val="22"/>
              </w:rPr>
              <w:t>$33.27B</w:t>
            </w:r>
          </w:p>
        </w:tc>
        <w:tc>
          <w:tcPr>
            <w:tcW w:type="dxa" w:w="1080"/>
          </w:tcPr>
          <w:p>
            <w:r>
              <w:rPr>
                <w:rFonts w:ascii="Calibri" w:hAnsi="Calibri"/>
                <w:sz w:val="22"/>
              </w:rPr>
              <w:t>+1.1%</w:t>
            </w:r>
          </w:p>
        </w:tc>
        <w:tc>
          <w:tcPr>
            <w:tcW w:type="dxa" w:w="1080"/>
          </w:tcPr>
          <w:p>
            <w:r>
              <w:rPr>
                <w:rFonts w:ascii="Calibri" w:hAnsi="Calibri"/>
                <w:sz w:val="22"/>
              </w:rPr>
              <w:t>$125–$145B (FY)</w:t>
            </w:r>
          </w:p>
        </w:tc>
        <w:tc>
          <w:tcPr>
            <w:tcW w:type="dxa" w:w="1080"/>
          </w:tcPr>
          <w:p>
            <w:r>
              <w:rPr>
                <w:rFonts w:ascii="Calibri" w:hAnsi="Calibri"/>
                <w:sz w:val="22"/>
              </w:rPr>
              <w:t>Unchanged formally; upside risk from news flow</w:t>
            </w:r>
          </w:p>
        </w:tc>
        <w:tc>
          <w:tcPr>
            <w:tcW w:type="dxa" w:w="1080"/>
          </w:tcPr>
          <w:p>
            <w:r>
              <w:rPr>
                <w:rFonts w:ascii="Calibri" w:hAnsi="Calibri"/>
                <w:sz w:val="22"/>
              </w:rPr>
              <w:t>—</w:t>
            </w:r>
          </w:p>
        </w:tc>
        <w:tc>
          <w:tcPr>
            <w:tcW w:type="dxa" w:w="1080"/>
          </w:tcPr>
          <w:p>
            <w:r>
              <w:rPr>
                <w:rFonts w:ascii="Calibri" w:hAnsi="Calibri"/>
                <w:sz w:val="22"/>
              </w:rPr>
              <w:t>N/A (FY guidance)</w:t>
            </w:r>
          </w:p>
        </w:tc>
      </w:tr>
    </w:tbl>
    <w:p>
      <w:r>
        <w:rPr>
          <w:rFonts w:ascii="Calibri" w:hAnsi="Calibri"/>
          <w:i/>
          <w:color w:val="525866"/>
          <w:sz w:val="22"/>
        </w:rPr>
        <w:t>Source: Visible Alpha Consensus and Actuals Data (revision history from May 8, 2026 to July 28, 2026); Meta Q1 2026 Earnings Call Transcript.</w:t>
      </w:r>
    </w:p>
    <w:p>
      <w:r>
        <w:rPr>
          <w:rFonts w:ascii="Calibri" w:hAnsi="Calibri"/>
          <w:color w:val="525866"/>
          <w:sz w:val="22"/>
        </w:rPr>
        <w:t>The flatness of estimate revisions since the Q1 print is notable: despite a significant capex raise at Q1 and ongoing news flow about infrastructure spending, the street has not materially revised revenue or EPS estimates higher or lower. This suggests the market is waiting for the Q2 print itself to reset expectations, and that the Q3 guidance range — not Q2 actuals — will be the primary driver of the stock reaction.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Multiple compression has been the dominant driver of META’s underperformance — </w:t>
      </w:r>
    </w:p>
    <w:p>
      <w:r>
        <w:rPr>
          <w:rFonts w:ascii="Calibri" w:hAnsi="Calibri"/>
          <w:b/>
          <w:color w:val="525866"/>
          <w:sz w:val="22"/>
        </w:rPr>
        <w:t>NTM P/E has contracted from ~26x to ~17x over 12 months</w:t>
      </w:r>
      <w:r>
        <w:rPr>
          <w:rFonts w:ascii="Calibri" w:hAnsi="Calibri"/>
          <w:color w:val="525866"/>
          <w:sz w:val="22"/>
        </w:rPr>
        <w:t xml:space="preserve"> (a 33% de-rating) even as EPS estimates have been revised modestly higher, meaning the stock’s -17% 12-month return is almost entirely a valuation story driven by capex spending concerns, not fundamental deterioration.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Horizon</w:t>
            </w:r>
          </w:p>
        </w:tc>
        <w:tc>
          <w:tcPr>
            <w:tcW w:type="dxa" w:w="1080"/>
            <w:shd w:val="clear" w:color="auto" w:fill="3B4259"/>
          </w:tcPr>
          <w:p>
            <w:r>
              <w:rPr>
                <w:rFonts w:ascii="Calibri" w:hAnsi="Calibri"/>
                <w:b/>
                <w:color w:val="FFFFFF"/>
                <w:sz w:val="22"/>
              </w:rPr>
              <w:t>META Price Return</w:t>
            </w:r>
          </w:p>
        </w:tc>
        <w:tc>
          <w:tcPr>
            <w:tcW w:type="dxa" w:w="1080"/>
            <w:shd w:val="clear" w:color="auto" w:fill="3B4259"/>
          </w:tcPr>
          <w:p>
            <w:r>
              <w:rPr>
                <w:rFonts w:ascii="Calibri" w:hAnsi="Calibri"/>
                <w:b/>
                <w:color w:val="FFFFFF"/>
                <w:sz w:val="22"/>
              </w:rPr>
              <w:t>NTM EV/EBITDA (Start)</w:t>
            </w:r>
          </w:p>
        </w:tc>
        <w:tc>
          <w:tcPr>
            <w:tcW w:type="dxa" w:w="1080"/>
            <w:shd w:val="clear" w:color="auto" w:fill="3B4259"/>
          </w:tcPr>
          <w:p>
            <w:r>
              <w:rPr>
                <w:rFonts w:ascii="Calibri" w:hAnsi="Calibri"/>
                <w:b/>
                <w:color w:val="FFFFFF"/>
                <w:sz w:val="22"/>
              </w:rPr>
              <w:t>NTM EV/EBITDA (Current)</w:t>
            </w:r>
          </w:p>
        </w:tc>
        <w:tc>
          <w:tcPr>
            <w:tcW w:type="dxa" w:w="1080"/>
            <w:shd w:val="clear" w:color="auto" w:fill="3B4259"/>
          </w:tcPr>
          <w:p>
            <w:r>
              <w:rPr>
                <w:rFonts w:ascii="Calibri" w:hAnsi="Calibri"/>
                <w:b/>
                <w:color w:val="FFFFFF"/>
                <w:sz w:val="22"/>
              </w:rPr>
              <w:t>Multiple Δ</w:t>
            </w:r>
          </w:p>
        </w:tc>
        <w:tc>
          <w:tcPr>
            <w:tcW w:type="dxa" w:w="1080"/>
            <w:shd w:val="clear" w:color="auto" w:fill="3B4259"/>
          </w:tcPr>
          <w:p>
            <w:r>
              <w:rPr>
                <w:rFonts w:ascii="Calibri" w:hAnsi="Calibri"/>
                <w:b/>
                <w:color w:val="FFFFFF"/>
                <w:sz w:val="22"/>
              </w:rPr>
              <w:t>NTM P/E (Start)</w:t>
            </w:r>
          </w:p>
        </w:tc>
        <w:tc>
          <w:tcPr>
            <w:tcW w:type="dxa" w:w="1080"/>
            <w:shd w:val="clear" w:color="auto" w:fill="3B4259"/>
          </w:tcPr>
          <w:p>
            <w:r>
              <w:rPr>
                <w:rFonts w:ascii="Calibri" w:hAnsi="Calibri"/>
                <w:b/>
                <w:color w:val="FFFFFF"/>
                <w:sz w:val="22"/>
              </w:rPr>
              <w:t>NTM P/E (Current)</w:t>
            </w:r>
          </w:p>
        </w:tc>
        <w:tc>
          <w:tcPr>
            <w:tcW w:type="dxa" w:w="1080"/>
            <w:shd w:val="clear" w:color="auto" w:fill="3B4259"/>
          </w:tcPr>
          <w:p>
            <w:r>
              <w:rPr>
                <w:rFonts w:ascii="Calibri" w:hAnsi="Calibri"/>
                <w:b/>
                <w:color w:val="FFFFFF"/>
                <w:sz w:val="22"/>
              </w:rPr>
              <w:t>P/E Δ</w:t>
            </w:r>
          </w:p>
        </w:tc>
      </w:tr>
      <w:tr>
        <w:tc>
          <w:tcPr>
            <w:tcW w:type="dxa" w:w="1080"/>
          </w:tcPr>
          <w:p>
            <w:r>
              <w:rPr>
                <w:rFonts w:ascii="Calibri" w:hAnsi="Calibri"/>
                <w:sz w:val="22"/>
              </w:rPr>
              <w:t>1 Month</w:t>
            </w:r>
          </w:p>
        </w:tc>
        <w:tc>
          <w:tcPr>
            <w:tcW w:type="dxa" w:w="1080"/>
          </w:tcPr>
          <w:p>
            <w:r>
              <w:rPr>
                <w:rFonts w:ascii="Calibri" w:hAnsi="Calibri"/>
                <w:b/>
                <w:color w:val="30A46C"/>
                <w:sz w:val="22"/>
              </w:rPr>
              <w:t>+7.9%</w:t>
            </w:r>
          </w:p>
        </w:tc>
        <w:tc>
          <w:tcPr>
            <w:tcW w:type="dxa" w:w="1080"/>
          </w:tcPr>
          <w:p>
            <w:r>
              <w:rPr>
                <w:rFonts w:ascii="Calibri" w:hAnsi="Calibri"/>
                <w:sz w:val="22"/>
              </w:rPr>
              <w:t>10.4x</w:t>
            </w:r>
          </w:p>
        </w:tc>
        <w:tc>
          <w:tcPr>
            <w:tcW w:type="dxa" w:w="1080"/>
          </w:tcPr>
          <w:p>
            <w:r>
              <w:rPr>
                <w:rFonts w:ascii="Calibri" w:hAnsi="Calibri"/>
                <w:sz w:val="22"/>
              </w:rPr>
              <w:t>11.1x</w:t>
            </w:r>
          </w:p>
        </w:tc>
        <w:tc>
          <w:tcPr>
            <w:tcW w:type="dxa" w:w="1080"/>
          </w:tcPr>
          <w:p>
            <w:r>
              <w:rPr>
                <w:rFonts w:ascii="Calibri" w:hAnsi="Calibri"/>
                <w:sz w:val="22"/>
              </w:rPr>
              <w:t>+6.4%</w:t>
            </w:r>
          </w:p>
        </w:tc>
        <w:tc>
          <w:tcPr>
            <w:tcW w:type="dxa" w:w="1080"/>
          </w:tcPr>
          <w:p>
            <w:r>
              <w:rPr>
                <w:rFonts w:ascii="Calibri" w:hAnsi="Calibri"/>
                <w:sz w:val="22"/>
              </w:rPr>
              <w:t>16.0x</w:t>
            </w:r>
          </w:p>
        </w:tc>
        <w:tc>
          <w:tcPr>
            <w:tcW w:type="dxa" w:w="1080"/>
          </w:tcPr>
          <w:p>
            <w:r>
              <w:rPr>
                <w:rFonts w:ascii="Calibri" w:hAnsi="Calibri"/>
                <w:sz w:val="22"/>
              </w:rPr>
              <w:t>17.4x</w:t>
            </w:r>
          </w:p>
        </w:tc>
        <w:tc>
          <w:tcPr>
            <w:tcW w:type="dxa" w:w="1080"/>
          </w:tcPr>
          <w:p>
            <w:r>
              <w:rPr>
                <w:rFonts w:ascii="Calibri" w:hAnsi="Calibri"/>
                <w:sz w:val="22"/>
              </w:rPr>
              <w:t>+8.8%</w:t>
            </w:r>
          </w:p>
        </w:tc>
      </w:tr>
      <w:tr>
        <w:tc>
          <w:tcPr>
            <w:tcW w:type="dxa" w:w="1080"/>
          </w:tcPr>
          <w:p>
            <w:r>
              <w:rPr>
                <w:rFonts w:ascii="Calibri" w:hAnsi="Calibri"/>
                <w:sz w:val="22"/>
              </w:rPr>
              <w:t>3 Months</w:t>
            </w:r>
          </w:p>
        </w:tc>
        <w:tc>
          <w:tcPr>
            <w:tcW w:type="dxa" w:w="1080"/>
          </w:tcPr>
          <w:p>
            <w:r>
              <w:rPr>
                <w:rFonts w:ascii="Calibri" w:hAnsi="Calibri"/>
                <w:b/>
                <w:color w:val="E5484D"/>
                <w:sz w:val="22"/>
              </w:rPr>
              <w:t>-12.6%</w:t>
            </w:r>
          </w:p>
        </w:tc>
        <w:tc>
          <w:tcPr>
            <w:tcW w:type="dxa" w:w="1080"/>
          </w:tcPr>
          <w:p>
            <w:r>
              <w:rPr>
                <w:rFonts w:ascii="Calibri" w:hAnsi="Calibri"/>
                <w:sz w:val="22"/>
              </w:rPr>
              <w:t>13.8x</w:t>
            </w:r>
          </w:p>
        </w:tc>
        <w:tc>
          <w:tcPr>
            <w:tcW w:type="dxa" w:w="1080"/>
          </w:tcPr>
          <w:p>
            <w:r>
              <w:rPr>
                <w:rFonts w:ascii="Calibri" w:hAnsi="Calibri"/>
                <w:sz w:val="22"/>
              </w:rPr>
              <w:t>11.1x</w:t>
            </w:r>
          </w:p>
        </w:tc>
        <w:tc>
          <w:tcPr>
            <w:tcW w:type="dxa" w:w="1080"/>
          </w:tcPr>
          <w:p>
            <w:r>
              <w:rPr>
                <w:rFonts w:ascii="Calibri" w:hAnsi="Calibri"/>
                <w:sz w:val="22"/>
              </w:rPr>
              <w:t>-19.8%</w:t>
            </w:r>
          </w:p>
        </w:tc>
        <w:tc>
          <w:tcPr>
            <w:tcW w:type="dxa" w:w="1080"/>
          </w:tcPr>
          <w:p>
            <w:r>
              <w:rPr>
                <w:rFonts w:ascii="Calibri" w:hAnsi="Calibri"/>
                <w:sz w:val="22"/>
              </w:rPr>
              <w:t>21.7x</w:t>
            </w:r>
          </w:p>
        </w:tc>
        <w:tc>
          <w:tcPr>
            <w:tcW w:type="dxa" w:w="1080"/>
          </w:tcPr>
          <w:p>
            <w:r>
              <w:rPr>
                <w:rFonts w:ascii="Calibri" w:hAnsi="Calibri"/>
                <w:sz w:val="22"/>
              </w:rPr>
              <w:t>17.4x</w:t>
            </w:r>
          </w:p>
        </w:tc>
        <w:tc>
          <w:tcPr>
            <w:tcW w:type="dxa" w:w="1080"/>
          </w:tcPr>
          <w:p>
            <w:r>
              <w:rPr>
                <w:rFonts w:ascii="Calibri" w:hAnsi="Calibri"/>
                <w:sz w:val="22"/>
              </w:rPr>
              <w:t>-19.7%</w:t>
            </w:r>
          </w:p>
        </w:tc>
      </w:tr>
      <w:tr>
        <w:tc>
          <w:tcPr>
            <w:tcW w:type="dxa" w:w="1080"/>
          </w:tcPr>
          <w:p>
            <w:r>
              <w:rPr>
                <w:rFonts w:ascii="Calibri" w:hAnsi="Calibri"/>
                <w:sz w:val="22"/>
              </w:rPr>
              <w:t>6 Months</w:t>
            </w:r>
          </w:p>
        </w:tc>
        <w:tc>
          <w:tcPr>
            <w:tcW w:type="dxa" w:w="1080"/>
          </w:tcPr>
          <w:p>
            <w:r>
              <w:rPr>
                <w:rFonts w:ascii="Calibri" w:hAnsi="Calibri"/>
                <w:b/>
                <w:color w:val="E5484D"/>
                <w:sz w:val="22"/>
              </w:rPr>
              <w:t>-11.7%</w:t>
            </w:r>
          </w:p>
        </w:tc>
        <w:tc>
          <w:tcPr>
            <w:tcW w:type="dxa" w:w="1080"/>
          </w:tcPr>
          <w:p>
            <w:r>
              <w:rPr>
                <w:rFonts w:ascii="Calibri" w:hAnsi="Calibri"/>
                <w:sz w:val="22"/>
              </w:rPr>
              <w:t>11.8x</w:t>
            </w:r>
          </w:p>
        </w:tc>
        <w:tc>
          <w:tcPr>
            <w:tcW w:type="dxa" w:w="1080"/>
          </w:tcPr>
          <w:p>
            <w:r>
              <w:rPr>
                <w:rFonts w:ascii="Calibri" w:hAnsi="Calibri"/>
                <w:sz w:val="22"/>
              </w:rPr>
              <w:t>11.1x</w:t>
            </w:r>
          </w:p>
        </w:tc>
        <w:tc>
          <w:tcPr>
            <w:tcW w:type="dxa" w:w="1080"/>
          </w:tcPr>
          <w:p>
            <w:r>
              <w:rPr>
                <w:rFonts w:ascii="Calibri" w:hAnsi="Calibri"/>
                <w:sz w:val="22"/>
              </w:rPr>
              <w:t>-6.5%</w:t>
            </w:r>
          </w:p>
        </w:tc>
        <w:tc>
          <w:tcPr>
            <w:tcW w:type="dxa" w:w="1080"/>
          </w:tcPr>
          <w:p>
            <w:r>
              <w:rPr>
                <w:rFonts w:ascii="Calibri" w:hAnsi="Calibri"/>
                <w:sz w:val="22"/>
              </w:rPr>
              <w:t>22.1x</w:t>
            </w:r>
          </w:p>
        </w:tc>
        <w:tc>
          <w:tcPr>
            <w:tcW w:type="dxa" w:w="1080"/>
          </w:tcPr>
          <w:p>
            <w:r>
              <w:rPr>
                <w:rFonts w:ascii="Calibri" w:hAnsi="Calibri"/>
                <w:sz w:val="22"/>
              </w:rPr>
              <w:t>17.4x</w:t>
            </w:r>
          </w:p>
        </w:tc>
        <w:tc>
          <w:tcPr>
            <w:tcW w:type="dxa" w:w="1080"/>
          </w:tcPr>
          <w:p>
            <w:r>
              <w:rPr>
                <w:rFonts w:ascii="Calibri" w:hAnsi="Calibri"/>
                <w:sz w:val="22"/>
              </w:rPr>
              <w:t>-21.3%</w:t>
            </w:r>
          </w:p>
        </w:tc>
      </w:tr>
      <w:tr>
        <w:tc>
          <w:tcPr>
            <w:tcW w:type="dxa" w:w="1080"/>
          </w:tcPr>
          <w:p>
            <w:r>
              <w:rPr>
                <w:rFonts w:ascii="Calibri" w:hAnsi="Calibri"/>
                <w:sz w:val="22"/>
              </w:rPr>
              <w:t>12 Months</w:t>
            </w:r>
          </w:p>
        </w:tc>
        <w:tc>
          <w:tcPr>
            <w:tcW w:type="dxa" w:w="1080"/>
          </w:tcPr>
          <w:p>
            <w:r>
              <w:rPr>
                <w:rFonts w:ascii="Calibri" w:hAnsi="Calibri"/>
                <w:b/>
                <w:color w:val="E5484D"/>
                <w:sz w:val="22"/>
              </w:rPr>
              <w:t>-16.7%</w:t>
            </w:r>
          </w:p>
        </w:tc>
        <w:tc>
          <w:tcPr>
            <w:tcW w:type="dxa" w:w="1080"/>
          </w:tcPr>
          <w:p>
            <w:r>
              <w:rPr>
                <w:rFonts w:ascii="Calibri" w:hAnsi="Calibri"/>
                <w:sz w:val="22"/>
              </w:rPr>
              <w:t>14.5x</w:t>
            </w:r>
          </w:p>
        </w:tc>
        <w:tc>
          <w:tcPr>
            <w:tcW w:type="dxa" w:w="1080"/>
          </w:tcPr>
          <w:p>
            <w:r>
              <w:rPr>
                <w:rFonts w:ascii="Calibri" w:hAnsi="Calibri"/>
                <w:sz w:val="22"/>
              </w:rPr>
              <w:t>11.1x</w:t>
            </w:r>
          </w:p>
        </w:tc>
        <w:tc>
          <w:tcPr>
            <w:tcW w:type="dxa" w:w="1080"/>
          </w:tcPr>
          <w:p>
            <w:r>
              <w:rPr>
                <w:rFonts w:ascii="Calibri" w:hAnsi="Calibri"/>
                <w:sz w:val="22"/>
              </w:rPr>
              <w:t>-23.5%</w:t>
            </w:r>
          </w:p>
        </w:tc>
        <w:tc>
          <w:tcPr>
            <w:tcW w:type="dxa" w:w="1080"/>
          </w:tcPr>
          <w:p>
            <w:r>
              <w:rPr>
                <w:rFonts w:ascii="Calibri" w:hAnsi="Calibri"/>
                <w:sz w:val="22"/>
              </w:rPr>
              <w:t>26.1x</w:t>
            </w:r>
          </w:p>
        </w:tc>
        <w:tc>
          <w:tcPr>
            <w:tcW w:type="dxa" w:w="1080"/>
          </w:tcPr>
          <w:p>
            <w:r>
              <w:rPr>
                <w:rFonts w:ascii="Calibri" w:hAnsi="Calibri"/>
                <w:sz w:val="22"/>
              </w:rPr>
              <w:t>17.4x</w:t>
            </w:r>
          </w:p>
        </w:tc>
        <w:tc>
          <w:tcPr>
            <w:tcW w:type="dxa" w:w="1080"/>
          </w:tcPr>
          <w:p>
            <w:r>
              <w:rPr>
                <w:rFonts w:ascii="Calibri" w:hAnsi="Calibri"/>
                <w:sz w:val="22"/>
              </w:rPr>
              <w:t>-33.3%</w:t>
            </w:r>
          </w:p>
        </w:tc>
      </w:tr>
    </w:tbl>
    <w:p>
      <w:r>
        <w:rPr>
          <w:rFonts w:ascii="Calibri" w:hAnsi="Calibri"/>
          <w:i/>
          <w:color w:val="525866"/>
          <w:sz w:val="22"/>
        </w:rPr>
        <w:t>Source: Stock Performance Decomposition data as of July 28, 2026. Current NTM multiples: EV/EBITDA 11.1x, EV/Sales 5.4x, P/E 17.4x, P/Book 4.1x.</w:t>
      </w:r>
    </w:p>
    <w:p>
      <w:r>
        <w:rPr>
          <w:rFonts w:ascii="Calibri" w:hAnsi="Calibri"/>
          <w:color w:val="525866"/>
          <w:sz w:val="22"/>
        </w:rPr>
        <w:t>The 1-month recovery (+7.9%) is entirely multiple-driven (+8.8% P/E expansion), suggesting a tentative stabilization in sentiment. However, the 3- and 6-month windows show that the stock has been in a de-rating cycle since the Q1 2026 print (April 29), when the capex raise triggered a ~7–8% after-hours decline. At 17.4x NTM P/E, META trades at a meaningful discount to its 2024 peak (~26x) and below the S&amp;P 500 average, which is unusual for a company growing revenue at ~27% YoY — suggesting the market is applying a structural discount for capex uncertainty rather than pricing in fundamental weakness.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is today’s announcement of a </w:t>
      </w:r>
    </w:p>
    <w:p>
      <w:r>
        <w:rPr>
          <w:rFonts w:ascii="Calibri" w:hAnsi="Calibri"/>
          <w:b/>
          <w:color w:val="525866"/>
          <w:sz w:val="22"/>
        </w:rPr>
        <w:t>$14B El Paso data center with BlackRock</w:t>
      </w:r>
      <w:r>
        <w:rPr>
          <w:rFonts w:ascii="Calibri" w:hAnsi="Calibri"/>
          <w:color w:val="525866"/>
          <w:sz w:val="22"/>
        </w:rPr>
        <w:t xml:space="preserve"> and reports that META needs to raise hundreds of billions for its AI buildout — coming the day before earnings and one day after Alphabet’s capex hike triggered a 7% sell-off, this sets up capex guidance as the single most consequential variable in tomorrow’s print.</w:t>
      </w:r>
    </w:p>
    <w:p>
      <w:pPr>
        <w:pStyle w:val="ListBullet"/>
        <w:ind w:left="360" w:hanging="360"/>
      </w:pPr>
      <w:r>
        <w:rPr>
          <w:rFonts w:ascii="Calibri" w:hAnsi="Calibri"/>
          <w:b/>
          <w:color w:val="525866"/>
          <w:sz w:val="22"/>
        </w:rPr>
        <w:t xml:space="preserve">Jul 28, 2026 — </w:t>
      </w:r>
      <w:r>
        <w:rPr>
          <w:rFonts w:ascii="Calibri" w:hAnsi="Calibri"/>
          <w:color w:val="525866"/>
          <w:sz w:val="22"/>
        </w:rPr>
        <w:t>META announces $14B El Paso, TX data center project with BlackRock</w:t>
      </w:r>
      <w:r>
        <w:rPr>
          <w:rFonts w:ascii="Calibri" w:hAnsi="Calibri"/>
          <w:color w:val="525866"/>
          <w:sz w:val="22"/>
        </w:rPr>
        <w:t xml:space="preserve">; separately, WSJ reports META has told bankers it will need to raise hundreds of billions of dollars to support its AI buildout. </w:t>
      </w:r>
    </w:p>
    <w:p>
      <w:pPr>
        <w:pStyle w:val="ListBullet"/>
        <w:ind w:left="360" w:hanging="360"/>
      </w:pPr>
      <w:r>
        <w:rPr>
          <w:rFonts w:ascii="Calibri" w:hAnsi="Calibri"/>
          <w:i/>
          <w:color w:val="525866"/>
          <w:sz w:val="22"/>
        </w:rPr>
        <w:t xml:space="preserve">Implication: </w:t>
      </w:r>
      <w:r>
        <w:rPr>
          <w:rFonts w:ascii="Calibri" w:hAnsi="Calibri"/>
          <w:i/>
          <w:color w:val="525866"/>
          <w:sz w:val="22"/>
        </w:rPr>
        <w:t>Signals capex trajectory is accelerating beyond current guidance range; coming the day before earnings, this is the most market-moving pre-print development.</w:t>
      </w:r>
    </w:p>
    <w:p>
      <w:pPr>
        <w:pStyle w:val="ListBullet"/>
        <w:ind w:left="360" w:hanging="360"/>
      </w:pPr>
      <w:r>
        <w:rPr>
          <w:rFonts w:ascii="Calibri" w:hAnsi="Calibri"/>
          <w:b/>
          <w:color w:val="525866"/>
          <w:sz w:val="22"/>
        </w:rPr>
        <w:t xml:space="preserve">Jul 28, 2026 — </w:t>
      </w:r>
      <w:r>
        <w:rPr>
          <w:rFonts w:ascii="Calibri" w:hAnsi="Calibri"/>
          <w:color w:val="525866"/>
          <w:sz w:val="22"/>
        </w:rPr>
        <w:t>META shares tumbled after Alphabet raised its 2026 capex forecast to $195–$205B</w:t>
      </w:r>
      <w:r>
        <w:rPr>
          <w:rFonts w:ascii="Calibri" w:hAnsi="Calibri"/>
          <w:color w:val="525866"/>
          <w:sz w:val="22"/>
        </w:rPr>
        <w:t xml:space="preserve"> (up $15B), with analysts warning that if META raises capex guidance, it could trigger similar selling pressure. </w:t>
      </w:r>
    </w:p>
    <w:p>
      <w:pPr>
        <w:pStyle w:val="ListBullet"/>
        <w:ind w:left="360" w:hanging="360"/>
      </w:pPr>
      <w:r>
        <w:rPr>
          <w:rFonts w:ascii="Calibri" w:hAnsi="Calibri"/>
          <w:i/>
          <w:color w:val="525866"/>
          <w:sz w:val="22"/>
        </w:rPr>
        <w:t xml:space="preserve">Implication: </w:t>
      </w:r>
      <w:r>
        <w:rPr>
          <w:rFonts w:ascii="Calibri" w:hAnsi="Calibri"/>
          <w:i/>
          <w:color w:val="525866"/>
          <w:sz w:val="22"/>
        </w:rPr>
        <w:t>Market is hypersensitive to hyperscaler capex; any upward revision to META’s $125–$145B range will likely be punished.</w:t>
      </w:r>
    </w:p>
    <w:p>
      <w:pPr>
        <w:pStyle w:val="ListBullet"/>
        <w:ind w:left="360" w:hanging="360"/>
      </w:pPr>
      <w:r>
        <w:rPr>
          <w:rFonts w:ascii="Calibri" w:hAnsi="Calibri"/>
          <w:b/>
          <w:color w:val="525866"/>
          <w:sz w:val="22"/>
        </w:rPr>
        <w:t xml:space="preserve">Jul 28, 2026 — </w:t>
      </w:r>
      <w:r>
        <w:rPr>
          <w:rFonts w:ascii="Calibri" w:hAnsi="Calibri"/>
          <w:color w:val="525866"/>
          <w:sz w:val="22"/>
        </w:rPr>
        <w:t>META faces mounting child/teen safety lawsuits</w:t>
      </w:r>
      <w:r>
        <w:rPr>
          <w:rFonts w:ascii="Calibri" w:hAnsi="Calibri"/>
          <w:color w:val="525866"/>
          <w:sz w:val="22"/>
        </w:rPr>
        <w:t xml:space="preserve">; WSJ reports the company could be on the hook for billions in damages. </w:t>
      </w:r>
    </w:p>
    <w:p>
      <w:pPr>
        <w:pStyle w:val="ListBullet"/>
        <w:ind w:left="360" w:hanging="360"/>
      </w:pPr>
      <w:r>
        <w:rPr>
          <w:rFonts w:ascii="Calibri" w:hAnsi="Calibri"/>
          <w:i/>
          <w:color w:val="525866"/>
          <w:sz w:val="22"/>
        </w:rPr>
        <w:t xml:space="preserve">Implication: </w:t>
      </w:r>
      <w:r>
        <w:rPr>
          <w:rFonts w:ascii="Calibri" w:hAnsi="Calibri"/>
          <w:i/>
          <w:color w:val="525866"/>
          <w:sz w:val="22"/>
        </w:rPr>
        <w:t>Tail risk; management flagged this on the Q1 call as a potential material loss. Watch for any update on trial schedule or settlement discussions.</w:t>
      </w:r>
    </w:p>
    <w:p>
      <w:pPr>
        <w:pStyle w:val="ListBullet"/>
        <w:ind w:left="360" w:hanging="360"/>
      </w:pPr>
      <w:r>
        <w:rPr>
          <w:rFonts w:ascii="Calibri" w:hAnsi="Calibri"/>
          <w:b/>
          <w:color w:val="525866"/>
          <w:sz w:val="22"/>
        </w:rPr>
        <w:t xml:space="preserve">Jul 24, 2026 — </w:t>
      </w:r>
      <w:r>
        <w:rPr>
          <w:rFonts w:ascii="Calibri" w:hAnsi="Calibri"/>
          <w:color w:val="525866"/>
          <w:sz w:val="22"/>
        </w:rPr>
        <w:t>Moody’s warned that ‘unprecedented’ AI spending is threatening META’s credit quality</w:t>
      </w:r>
      <w:r>
        <w:rPr>
          <w:rFonts w:ascii="Calibri" w:hAnsi="Calibri"/>
          <w:color w:val="525866"/>
          <w:sz w:val="22"/>
        </w:rPr>
        <w:t xml:space="preserve">; META faced higher borrowing costs on its El Paso data center project as bond investors demand more yield on AI-linked debt. </w:t>
      </w:r>
    </w:p>
    <w:p>
      <w:pPr>
        <w:pStyle w:val="ListBullet"/>
        <w:ind w:left="360" w:hanging="360"/>
      </w:pPr>
      <w:r>
        <w:rPr>
          <w:rFonts w:ascii="Calibri" w:hAnsi="Calibri"/>
          <w:i/>
          <w:color w:val="525866"/>
          <w:sz w:val="22"/>
        </w:rPr>
        <w:t xml:space="preserve">Implication: </w:t>
      </w:r>
      <w:r>
        <w:rPr>
          <w:rFonts w:ascii="Calibri" w:hAnsi="Calibri"/>
          <w:i/>
          <w:color w:val="525866"/>
          <w:sz w:val="22"/>
        </w:rPr>
        <w:t>Rising cost of capital for infrastructure financing; META completed a $25B senior notes offering in May 2026, and the bond market is now pricing in higher risk.</w:t>
      </w:r>
    </w:p>
    <w:p>
      <w:pPr>
        <w:pStyle w:val="ListBullet"/>
        <w:ind w:left="360" w:hanging="360"/>
      </w:pPr>
      <w:r>
        <w:rPr>
          <w:rFonts w:ascii="Calibri" w:hAnsi="Calibri"/>
          <w:b/>
          <w:color w:val="525866"/>
          <w:sz w:val="22"/>
        </w:rPr>
        <w:t xml:space="preserve">Jul 17, 2026 — </w:t>
      </w:r>
      <w:r>
        <w:rPr>
          <w:rFonts w:ascii="Calibri" w:hAnsi="Calibri"/>
          <w:color w:val="525866"/>
          <w:sz w:val="22"/>
        </w:rPr>
        <w:t>META hiring Dave Brown (senior AWS executive) to lead data center buildout</w:t>
      </w:r>
      <w:r>
        <w:rPr>
          <w:rFonts w:ascii="Calibri" w:hAnsi="Calibri"/>
          <w:color w:val="525866"/>
          <w:sz w:val="22"/>
        </w:rPr>
        <w:t xml:space="preserve">, signaling the company is proceeding with plans to become a hyperscaler and sell compute capacity externally. </w:t>
      </w:r>
    </w:p>
    <w:p>
      <w:pPr>
        <w:pStyle w:val="ListBullet"/>
        <w:ind w:left="360" w:hanging="360"/>
      </w:pPr>
      <w:r>
        <w:rPr>
          <w:rFonts w:ascii="Calibri" w:hAnsi="Calibri"/>
          <w:i/>
          <w:color w:val="525866"/>
          <w:sz w:val="22"/>
        </w:rPr>
        <w:t xml:space="preserve">Implication: </w:t>
      </w:r>
      <w:r>
        <w:rPr>
          <w:rFonts w:ascii="Calibri" w:hAnsi="Calibri"/>
          <w:i/>
          <w:color w:val="525866"/>
          <w:sz w:val="22"/>
        </w:rPr>
        <w:t>Potential new revenue stream (external AI capacity revenue) that could partially offset capex concerns; META is reportedly in talks to sell compute to Anthropic in a $10B/2-year deal.</w:t>
      </w:r>
    </w:p>
    <w:p>
      <w:pPr>
        <w:pStyle w:val="ListBullet"/>
        <w:ind w:left="360" w:hanging="360"/>
      </w:pPr>
      <w:r>
        <w:rPr>
          <w:rFonts w:ascii="Calibri" w:hAnsi="Calibri"/>
          <w:b/>
          <w:color w:val="525866"/>
          <w:sz w:val="22"/>
        </w:rPr>
        <w:t xml:space="preserve">Jul 14, 2026 — </w:t>
      </w:r>
      <w:r>
        <w:rPr>
          <w:rFonts w:ascii="Calibri" w:hAnsi="Calibri"/>
          <w:color w:val="525866"/>
          <w:sz w:val="22"/>
        </w:rPr>
        <w:t>META disclosed Louisiana data center cost raised to $50B+</w:t>
      </w:r>
      <w:r>
        <w:rPr>
          <w:rFonts w:ascii="Calibri" w:hAnsi="Calibri"/>
          <w:color w:val="525866"/>
          <w:sz w:val="22"/>
        </w:rPr>
        <w:t xml:space="preserve"> (up from ~$27B prior estimate). </w:t>
      </w:r>
    </w:p>
    <w:p>
      <w:pPr>
        <w:pStyle w:val="ListBullet"/>
        <w:ind w:left="360" w:hanging="360"/>
      </w:pPr>
      <w:r>
        <w:rPr>
          <w:rFonts w:ascii="Calibri" w:hAnsi="Calibri"/>
          <w:i/>
          <w:color w:val="525866"/>
          <w:sz w:val="22"/>
        </w:rPr>
        <w:t xml:space="preserve">Implication: </w:t>
      </w:r>
      <w:r>
        <w:rPr>
          <w:rFonts w:ascii="Calibri" w:hAnsi="Calibri"/>
          <w:i/>
          <w:color w:val="525866"/>
          <w:sz w:val="22"/>
        </w:rPr>
        <w:t>Confirms capex cost inflation is real and ongoing; supports the case for another upward revision to FY 2026 capex guidance.</w:t>
      </w:r>
    </w:p>
    <w:p>
      <w:pPr>
        <w:pStyle w:val="ListBullet"/>
        <w:ind w:left="360" w:hanging="360"/>
      </w:pPr>
      <w:r>
        <w:rPr>
          <w:rFonts w:ascii="Calibri" w:hAnsi="Calibri"/>
          <w:b/>
          <w:color w:val="525866"/>
          <w:sz w:val="22"/>
        </w:rPr>
        <w:t xml:space="preserve">May 4, 2026 — </w:t>
      </w:r>
      <w:r>
        <w:rPr>
          <w:rFonts w:ascii="Calibri" w:hAnsi="Calibri"/>
          <w:color w:val="525866"/>
          <w:sz w:val="22"/>
        </w:rPr>
        <w:t>META completed a $25 billion senior notes offering</w:t>
      </w:r>
      <w:r>
        <w:rPr>
          <w:rFonts w:ascii="Calibri" w:hAnsi="Calibri"/>
          <w:color w:val="525866"/>
          <w:sz w:val="22"/>
        </w:rPr>
        <w:t xml:space="preserve"> (8-K filed). </w:t>
      </w:r>
    </w:p>
    <w:p>
      <w:pPr>
        <w:pStyle w:val="ListBullet"/>
        <w:ind w:left="360" w:hanging="360"/>
      </w:pPr>
      <w:r>
        <w:rPr>
          <w:rFonts w:ascii="Calibri" w:hAnsi="Calibri"/>
          <w:i/>
          <w:color w:val="525866"/>
          <w:sz w:val="22"/>
        </w:rPr>
        <w:t xml:space="preserve">Implication: </w:t>
      </w:r>
      <w:r>
        <w:rPr>
          <w:rFonts w:ascii="Calibri" w:hAnsi="Calibri"/>
          <w:i/>
          <w:color w:val="525866"/>
          <w:sz w:val="22"/>
        </w:rPr>
        <w:t>Largest debt raise in company history; signals management is financing the capex buildout with debt rather than solely FCF, consistent with the Moody’s credit quality warning.</w:t>
      </w:r>
    </w:p>
    <w:p>
      <w:pPr>
        <w:pStyle w:val="ListBullet"/>
        <w:ind w:left="360" w:hanging="360"/>
      </w:pPr>
      <w:r>
        <w:rPr>
          <w:rFonts w:ascii="Calibri" w:hAnsi="Calibri"/>
          <w:b/>
          <w:color w:val="525866"/>
          <w:sz w:val="22"/>
        </w:rPr>
        <w:t xml:space="preserve">Jul 24, 2026 — </w:t>
      </w:r>
      <w:r>
        <w:rPr>
          <w:rFonts w:ascii="Calibri" w:hAnsi="Calibri"/>
          <w:color w:val="525866"/>
          <w:sz w:val="22"/>
        </w:rPr>
        <w:t>META exited RE100 clean energy pledge</w:t>
      </w:r>
      <w:r>
        <w:rPr>
          <w:rFonts w:ascii="Calibri" w:hAnsi="Calibri"/>
          <w:color w:val="525866"/>
          <w:sz w:val="22"/>
        </w:rPr>
        <w:t xml:space="preserve"> amid natural gas power plant buildout (10 plants for Louisiana Hyperion data center alone, 7.5 GW combined). </w:t>
      </w:r>
    </w:p>
    <w:p>
      <w:pPr>
        <w:pStyle w:val="ListBullet"/>
        <w:ind w:left="360" w:hanging="360"/>
      </w:pPr>
      <w:r>
        <w:rPr>
          <w:rFonts w:ascii="Calibri" w:hAnsi="Calibri"/>
          <w:i/>
          <w:color w:val="525866"/>
          <w:sz w:val="22"/>
        </w:rPr>
        <w:t xml:space="preserve">Implication: </w:t>
      </w:r>
      <w:r>
        <w:rPr>
          <w:rFonts w:ascii="Calibri" w:hAnsi="Calibri"/>
          <w:i/>
          <w:color w:val="525866"/>
          <w:sz w:val="22"/>
        </w:rPr>
        <w:t>ESG risk; may affect institutional investor sentiment but unlikely to be a near-term earnings driver.</w:t>
      </w:r>
    </w:p>
    <w:p>
      <w:pPr>
        <w:pStyle w:val="ListBullet"/>
        <w:ind w:left="360" w:hanging="360"/>
      </w:pPr>
      <w:r>
        <w:rPr>
          <w:rFonts w:ascii="Calibri" w:hAnsi="Calibri"/>
          <w:b/>
          <w:color w:val="525866"/>
          <w:sz w:val="22"/>
        </w:rPr>
        <w:t xml:space="preserve">Jul 17, 2026 — </w:t>
      </w:r>
      <w:r>
        <w:rPr>
          <w:rFonts w:ascii="Calibri" w:hAnsi="Calibri"/>
          <w:color w:val="525866"/>
          <w:sz w:val="22"/>
        </w:rPr>
        <w:t>U.S. judge rejected bid by 26 META employees to block layoffs</w:t>
      </w:r>
      <w:r>
        <w:rPr>
          <w:rFonts w:ascii="Calibri" w:hAnsi="Calibri"/>
          <w:color w:val="525866"/>
          <w:sz w:val="22"/>
        </w:rPr>
        <w:t xml:space="preserve">; layoffs of ~8,000 employees (~10% of workforce) began July 22. </w:t>
      </w:r>
    </w:p>
    <w:p>
      <w:pPr>
        <w:pStyle w:val="ListBullet"/>
        <w:ind w:left="360" w:hanging="360"/>
      </w:pPr>
      <w:r>
        <w:rPr>
          <w:rFonts w:ascii="Calibri" w:hAnsi="Calibri"/>
          <w:i/>
          <w:color w:val="525866"/>
          <w:sz w:val="22"/>
        </w:rPr>
        <w:t xml:space="preserve">Implication: </w:t>
      </w:r>
      <w:r>
        <w:rPr>
          <w:rFonts w:ascii="Calibri" w:hAnsi="Calibri"/>
          <w:i/>
          <w:color w:val="525866"/>
          <w:sz w:val="22"/>
        </w:rPr>
        <w:t>Headcount reduction should support expense guidance; watch for any update on total restructuring charges in Q2.</w:t>
      </w:r>
    </w:p>
    <w:p>
      <w:pPr>
        <w:pStyle w:val="ListBullet"/>
        <w:ind w:left="360" w:hanging="360"/>
      </w:pPr>
      <w:r>
        <w:rPr>
          <w:rFonts w:ascii="Calibri" w:hAnsi="Calibri"/>
          <w:b/>
          <w:color w:val="525866"/>
          <w:sz w:val="22"/>
        </w:rPr>
        <w:t xml:space="preserve">Jul 27, 2026 — </w:t>
      </w:r>
      <w:r>
        <w:rPr>
          <w:rFonts w:ascii="Calibri" w:hAnsi="Calibri"/>
          <w:color w:val="525866"/>
          <w:sz w:val="22"/>
        </w:rPr>
        <w:t>Meta AI integrated into Threads DMs</w:t>
      </w:r>
      <w:r>
        <w:rPr>
          <w:rFonts w:ascii="Calibri" w:hAnsi="Calibri"/>
          <w:color w:val="525866"/>
          <w:sz w:val="22"/>
        </w:rPr>
        <w:t xml:space="preserve">; WhatsApp calling expanded to web app. </w:t>
      </w:r>
    </w:p>
    <w:p>
      <w:pPr>
        <w:pStyle w:val="ListBullet"/>
        <w:ind w:left="360" w:hanging="360"/>
      </w:pPr>
      <w:r>
        <w:rPr>
          <w:rFonts w:ascii="Calibri" w:hAnsi="Calibri"/>
          <w:i/>
          <w:color w:val="525866"/>
          <w:sz w:val="22"/>
        </w:rPr>
        <w:t xml:space="preserve">Implication: </w:t>
      </w:r>
      <w:r>
        <w:rPr>
          <w:rFonts w:ascii="Calibri" w:hAnsi="Calibri"/>
          <w:i/>
          <w:color w:val="525866"/>
          <w:sz w:val="22"/>
        </w:rPr>
        <w:t>Incremental engagement drivers; supports the AI monetization narrative heading into the print.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the Q1 print consists exclusively of </w:t>
      </w:r>
    </w:p>
    <w:p>
      <w:r>
        <w:rPr>
          <w:rFonts w:ascii="Calibri" w:hAnsi="Calibri"/>
          <w:b/>
          <w:color w:val="525866"/>
          <w:sz w:val="22"/>
        </w:rPr>
        <w:t>pre-planned 10b5-1 sales by COO Javier Olivan and Director Robert Kimmitt</w:t>
      </w:r>
      <w:r>
        <w:rPr>
          <w:rFonts w:ascii="Calibri" w:hAnsi="Calibri"/>
          <w:color w:val="525866"/>
          <w:sz w:val="22"/>
        </w:rPr>
        <w:t xml:space="preserve"> — the pattern is mechanical and recurring (weekly cadence), with no open-market discretionary buys or unusual sale clusters. Nothing in the insider data signals a directional view on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Approx.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Javier Olivan</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~$541K</w:t>
            </w:r>
          </w:p>
        </w:tc>
        <w:tc>
          <w:tcPr>
            <w:tcW w:type="dxa" w:w="1440"/>
          </w:tcPr>
          <w:p>
            <w:r>
              <w:rPr>
                <w:rFonts w:ascii="Calibri" w:hAnsi="Calibri"/>
                <w:sz w:val="22"/>
              </w:rPr>
              <w:t>Jul 20, 2026</w:t>
            </w:r>
          </w:p>
        </w:tc>
        <w:tc>
          <w:tcPr>
            <w:tcW w:type="dxa" w:w="1440"/>
          </w:tcPr>
          <w:p>
            <w:r>
              <w:rPr>
                <w:rFonts w:ascii="Calibri" w:hAnsi="Calibri"/>
                <w:sz w:val="22"/>
              </w:rPr>
              <w:t>Pre-planned; 10b5-1 plan est. Nov 17, 2025; recurring weekly cadence across direct + LLC/trust holdings</w:t>
            </w:r>
          </w:p>
        </w:tc>
      </w:tr>
      <w:tr>
        <w:tc>
          <w:tcPr>
            <w:tcW w:type="dxa" w:w="1440"/>
          </w:tcPr>
          <w:p>
            <w:r>
              <w:rPr>
                <w:rFonts w:ascii="Calibri" w:hAnsi="Calibri"/>
                <w:sz w:val="22"/>
              </w:rPr>
              <w:t>Javier Olivan</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~$1.01M</w:t>
            </w:r>
          </w:p>
        </w:tc>
        <w:tc>
          <w:tcPr>
            <w:tcW w:type="dxa" w:w="1440"/>
          </w:tcPr>
          <w:p>
            <w:r>
              <w:rPr>
                <w:rFonts w:ascii="Calibri" w:hAnsi="Calibri"/>
                <w:sz w:val="22"/>
              </w:rPr>
              <w:t>Jul 13, 2026</w:t>
            </w:r>
          </w:p>
        </w:tc>
        <w:tc>
          <w:tcPr>
            <w:tcW w:type="dxa" w:w="1440"/>
          </w:tcPr>
          <w:p>
            <w:r>
              <w:rPr>
                <w:rFonts w:ascii="Calibri" w:hAnsi="Calibri"/>
                <w:sz w:val="22"/>
              </w:rPr>
              <w:t>Pre-planned; same 10b5-1 plan; multiple entity dispositions</w:t>
            </w:r>
          </w:p>
        </w:tc>
      </w:tr>
      <w:tr>
        <w:tc>
          <w:tcPr>
            <w:tcW w:type="dxa" w:w="1440"/>
          </w:tcPr>
          <w:p>
            <w:r>
              <w:rPr>
                <w:rFonts w:ascii="Calibri" w:hAnsi="Calibri"/>
                <w:sz w:val="22"/>
              </w:rPr>
              <w:t>Javier Olivan</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~$1.0M+</w:t>
            </w:r>
          </w:p>
        </w:tc>
        <w:tc>
          <w:tcPr>
            <w:tcW w:type="dxa" w:w="1440"/>
          </w:tcPr>
          <w:p>
            <w:r>
              <w:rPr>
                <w:rFonts w:ascii="Calibri" w:hAnsi="Calibri"/>
                <w:sz w:val="22"/>
              </w:rPr>
              <w:t>Jul 6, 2026</w:t>
            </w:r>
          </w:p>
        </w:tc>
        <w:tc>
          <w:tcPr>
            <w:tcW w:type="dxa" w:w="1440"/>
          </w:tcPr>
          <w:p>
            <w:r>
              <w:rPr>
                <w:rFonts w:ascii="Calibri" w:hAnsi="Calibri"/>
                <w:sz w:val="22"/>
              </w:rPr>
              <w:t>Pre-planned; recurring weekly sale</w:t>
            </w:r>
          </w:p>
        </w:tc>
      </w:tr>
      <w:tr>
        <w:tc>
          <w:tcPr>
            <w:tcW w:type="dxa" w:w="1440"/>
          </w:tcPr>
          <w:p>
            <w:r>
              <w:rPr>
                <w:rFonts w:ascii="Calibri" w:hAnsi="Calibri"/>
                <w:sz w:val="22"/>
              </w:rPr>
              <w:t>Robert M. Kimmitt</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~$290K (500 shares)</w:t>
            </w:r>
          </w:p>
        </w:tc>
        <w:tc>
          <w:tcPr>
            <w:tcW w:type="dxa" w:w="1440"/>
          </w:tcPr>
          <w:p>
            <w:r>
              <w:rPr>
                <w:rFonts w:ascii="Calibri" w:hAnsi="Calibri"/>
                <w:sz w:val="22"/>
              </w:rPr>
              <w:t>Jul 1, 2026</w:t>
            </w:r>
          </w:p>
        </w:tc>
        <w:tc>
          <w:tcPr>
            <w:tcW w:type="dxa" w:w="1440"/>
          </w:tcPr>
          <w:p>
            <w:r>
              <w:rPr>
                <w:rFonts w:ascii="Calibri" w:hAnsi="Calibri"/>
                <w:sz w:val="22"/>
              </w:rPr>
              <w:t>Pre-planned; recurring monthly cadence</w:t>
            </w:r>
          </w:p>
        </w:tc>
      </w:tr>
      <w:tr>
        <w:tc>
          <w:tcPr>
            <w:tcW w:type="dxa" w:w="1440"/>
          </w:tcPr>
          <w:p>
            <w:r>
              <w:rPr>
                <w:rFonts w:ascii="Calibri" w:hAnsi="Calibri"/>
                <w:sz w:val="22"/>
              </w:rPr>
              <w:t>Javier Olivan</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~$140K</w:t>
            </w:r>
          </w:p>
        </w:tc>
        <w:tc>
          <w:tcPr>
            <w:tcW w:type="dxa" w:w="1440"/>
          </w:tcPr>
          <w:p>
            <w:r>
              <w:rPr>
                <w:rFonts w:ascii="Calibri" w:hAnsi="Calibri"/>
                <w:sz w:val="22"/>
              </w:rPr>
              <w:t>Jun 15, 2026</w:t>
            </w:r>
          </w:p>
        </w:tc>
        <w:tc>
          <w:tcPr>
            <w:tcW w:type="dxa" w:w="1440"/>
          </w:tcPr>
          <w:p>
            <w:r>
              <w:rPr>
                <w:rFonts w:ascii="Calibri" w:hAnsi="Calibri"/>
                <w:sz w:val="22"/>
              </w:rPr>
              <w:t>Pre-planned; recurring weekly sale</w:t>
            </w:r>
          </w:p>
        </w:tc>
      </w:tr>
      <w:tr>
        <w:tc>
          <w:tcPr>
            <w:tcW w:type="dxa" w:w="1440"/>
          </w:tcPr>
          <w:p>
            <w:r>
              <w:rPr>
                <w:rFonts w:ascii="Calibri" w:hAnsi="Calibri"/>
                <w:sz w:val="22"/>
              </w:rPr>
              <w:t>Robert M. Kimmitt</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~$290K (504 shares)</w:t>
            </w:r>
          </w:p>
        </w:tc>
        <w:tc>
          <w:tcPr>
            <w:tcW w:type="dxa" w:w="1440"/>
          </w:tcPr>
          <w:p>
            <w:r>
              <w:rPr>
                <w:rFonts w:ascii="Calibri" w:hAnsi="Calibri"/>
                <w:sz w:val="22"/>
              </w:rPr>
              <w:t>Jun 1, 2026</w:t>
            </w:r>
          </w:p>
        </w:tc>
        <w:tc>
          <w:tcPr>
            <w:tcW w:type="dxa" w:w="1440"/>
          </w:tcPr>
          <w:p>
            <w:r>
              <w:rPr>
                <w:rFonts w:ascii="Calibri" w:hAnsi="Calibri"/>
                <w:sz w:val="22"/>
              </w:rPr>
              <w:t>Pre-planned; recurring monthly cadence</w:t>
            </w:r>
          </w:p>
        </w:tc>
      </w:tr>
      <w:tr>
        <w:tc>
          <w:tcPr>
            <w:tcW w:type="dxa" w:w="1440"/>
          </w:tcPr>
          <w:p>
            <w:r>
              <w:rPr>
                <w:rFonts w:ascii="Calibri" w:hAnsi="Calibri"/>
                <w:sz w:val="22"/>
              </w:rPr>
              <w:t>Curtis J. Mahoney</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~$1.2M (2,079 shares)</w:t>
            </w:r>
          </w:p>
        </w:tc>
        <w:tc>
          <w:tcPr>
            <w:tcW w:type="dxa" w:w="1440"/>
          </w:tcPr>
          <w:p>
            <w:r>
              <w:rPr>
                <w:rFonts w:ascii="Calibri" w:hAnsi="Calibri"/>
                <w:sz w:val="22"/>
              </w:rPr>
              <w:t>May 27, 2026</w:t>
            </w:r>
          </w:p>
        </w:tc>
        <w:tc>
          <w:tcPr>
            <w:tcW w:type="dxa" w:w="1440"/>
          </w:tcPr>
          <w:p>
            <w:r>
              <w:rPr>
                <w:rFonts w:ascii="Calibri" w:hAnsi="Calibri"/>
                <w:sz w:val="22"/>
              </w:rPr>
              <w:t>Pre-planned; one-time larger sale vs. Olivan’s weekly cadence</w:t>
            </w:r>
          </w:p>
        </w:tc>
      </w:tr>
      <w:tr>
        <w:tc>
          <w:tcPr>
            <w:tcW w:type="dxa" w:w="1440"/>
          </w:tcPr>
          <w:p>
            <w:r>
              <w:rPr>
                <w:rFonts w:ascii="Calibri" w:hAnsi="Calibri"/>
                <w:sz w:val="22"/>
              </w:rPr>
              <w:t>Peggy Alford</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~$240K (409 shares)</w:t>
            </w:r>
          </w:p>
        </w:tc>
        <w:tc>
          <w:tcPr>
            <w:tcW w:type="dxa" w:w="1440"/>
          </w:tcPr>
          <w:p>
            <w:r>
              <w:rPr>
                <w:rFonts w:ascii="Calibri" w:hAnsi="Calibri"/>
                <w:sz w:val="22"/>
              </w:rPr>
              <w:t>May 1, 2026</w:t>
            </w:r>
          </w:p>
        </w:tc>
        <w:tc>
          <w:tcPr>
            <w:tcW w:type="dxa" w:w="1440"/>
          </w:tcPr>
          <w:p>
            <w:r>
              <w:rPr>
                <w:rFonts w:ascii="Calibri" w:hAnsi="Calibri"/>
                <w:sz w:val="22"/>
              </w:rPr>
              <w:t>Pre-planned; trust disposition</w:t>
            </w:r>
          </w:p>
        </w:tc>
      </w:tr>
    </w:tbl>
    <w:p>
      <w:r>
        <w:rPr>
          <w:rFonts w:ascii="Calibri" w:hAnsi="Calibri"/>
          <w:i/>
          <w:color w:val="525866"/>
          <w:sz w:val="22"/>
        </w:rPr>
        <w:t>Source: SEC Form 4 filings via EDGAR; Insider Transaction Data.</w:t>
      </w:r>
    </w:p>
    <w:p>
      <w:r>
        <w:rPr>
          <w:rFonts w:ascii="Calibri" w:hAnsi="Calibri"/>
          <w:color w:val="525866"/>
          <w:sz w:val="22"/>
        </w:rPr>
        <w:t>No open-market discretionary buys have been filed since the Q1 2026 print. All sales are under pre-established 10b5-1 plans (Olivan’s plan was established November 17, 2025), which are obligation-driven and carry no informational signal about management’s view of the upcoming quarter. The absence of any discretionary buying is notable but not unusual for a company in a quiet period ahead of earnings.</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Screening Methodology: </w:t>
      </w:r>
      <w:r>
        <w:rPr>
          <w:rFonts w:ascii="Calibri" w:hAnsi="Calibri"/>
          <w:color w:val="525866"/>
          <w:sz w:val="22"/>
        </w:rPr>
        <w:t xml:space="preserve">This section includes only peer commentary published in the </w:t>
      </w:r>
    </w:p>
    <w:p>
      <w:r>
        <w:rPr>
          <w:rFonts w:ascii="Calibri" w:hAnsi="Calibri"/>
          <w:b/>
          <w:color w:val="525866"/>
          <w:sz w:val="22"/>
        </w:rPr>
        <w:t>last 60 days (May 29 – July 28, 2026)</w:t>
      </w:r>
      <w:r>
        <w:rPr>
          <w:rFonts w:ascii="Calibri" w:hAnsi="Calibri"/>
          <w:color w:val="525866"/>
          <w:sz w:val="22"/>
        </w:rPr>
        <w:t xml:space="preserve"> that addresses the </w:t>
      </w:r>
    </w:p>
    <w:p>
      <w:r>
        <w:rPr>
          <w:rFonts w:ascii="Calibri" w:hAnsi="Calibri"/>
          <w:b/>
          <w:color w:val="525866"/>
          <w:sz w:val="22"/>
        </w:rPr>
        <w:t>current Q2 2026 reporting quarter or forward-looking periods</w:t>
      </w:r>
      <w:r>
        <w:rPr>
          <w:rFonts w:ascii="Calibri" w:hAnsi="Calibri"/>
          <w:color w:val="525866"/>
          <w:sz w:val="22"/>
        </w:rPr>
        <w:t xml:space="preserve">. Stale Q1 2025 peer earnings commentary (i.e., peers discussing their own Q1 2025 results reported in April/May 2026) has been </w:t>
      </w:r>
    </w:p>
    <w:p>
      <w:r>
        <w:rPr>
          <w:rFonts w:ascii="Calibri" w:hAnsi="Calibri"/>
          <w:b/>
          <w:color w:val="525866"/>
          <w:sz w:val="22"/>
        </w:rPr>
        <w:t>explicitly excluded</w:t>
      </w:r>
      <w:r>
        <w:rPr>
          <w:rFonts w:ascii="Calibri" w:hAnsi="Calibri"/>
          <w:color w:val="525866"/>
          <w:sz w:val="22"/>
        </w:rPr>
        <w:t xml:space="preserve"> as it does not speak to META’s current reporting period. The primary eligible peer is </w:t>
      </w:r>
    </w:p>
    <w:p>
      <w:r>
        <w:rPr>
          <w:rFonts w:ascii="Calibri" w:hAnsi="Calibri"/>
          <w:b/>
          <w:color w:val="525866"/>
          <w:sz w:val="22"/>
        </w:rPr>
        <w:t>Alphabet (GOOGL)</w:t>
      </w:r>
      <w:r>
        <w:rPr>
          <w:rFonts w:ascii="Calibri" w:hAnsi="Calibri"/>
          <w:color w:val="525866"/>
          <w:sz w:val="22"/>
        </w:rPr>
        <w:t>, which reported Q2 2026 results on July 22, 2026 — the only major digital advertising peer to have reported the same calendar quarter (April–June 2026) that META is now reporting. Snap (SNAP), Pinterest (PINS), Reddit (RDDT), and The Trade Desk (TTD) had not yet reported Q2 2026 as of July 28, 2026.</w:t>
      </w:r>
    </w:p>
    <w:p>
      <w:pPr>
        <w:pStyle w:val="Heading3"/>
      </w:pPr>
      <w:r>
        <w:rPr>
          <w:rFonts w:ascii="Calibri" w:hAnsi="Calibri"/>
          <w:b/>
          <w:color w:val="3B4259"/>
          <w:sz w:val="24"/>
        </w:rPr>
        <w:t>A. Alphabet (GOOGL) — Q2 2026 Earnings (Reported July 22, 2026)</w:t>
      </w:r>
    </w:p>
    <w:p>
      <w:r>
        <w:rPr>
          <w:rFonts w:ascii="Calibri" w:hAnsi="Calibri"/>
          <w:b/>
          <w:color w:val="525866"/>
          <w:sz w:val="22"/>
        </w:rPr>
        <w:t xml:space="preserve">Eligibility: </w:t>
      </w:r>
      <w:r>
        <w:rPr>
          <w:rFonts w:ascii="Calibri" w:hAnsi="Calibri"/>
          <w:color w:val="525866"/>
          <w:sz w:val="22"/>
        </w:rPr>
        <w:t>✓ Eligible — GOOGL reported Q2 2026 (April–June 2026) on July 22, 2026, the same calendar quarter META is reporting. This is the highest-quality read-through available.</w:t>
      </w:r>
    </w:p>
    <w:p>
      <w:pPr>
        <w:pStyle w:val="Heading4"/>
      </w:pPr>
      <w:r>
        <w:rPr>
          <w:rFonts w:ascii="Calibri" w:hAnsi="Calibri"/>
          <w:b/>
          <w:color w:val="3B4259"/>
          <w:sz w:val="22"/>
        </w:rPr>
        <w:t>Digital Advertising Demand — Positive Read-Through for META</w:t>
      </w:r>
    </w:p>
    <w:p>
      <w:r>
        <w:rPr>
          <w:rFonts w:ascii="Calibri" w:hAnsi="Calibri"/>
          <w:color w:val="525866"/>
          <w:sz w:val="22"/>
        </w:rPr>
        <w:t xml:space="preserve">Alphabet reported total advertising revenue up 14% YoY in Q2 2026, with growth across all major verticals. Google Search revenue grew 17% to $63.3B, driven by retail and finance. YouTube advertising grew 13% to $11.1B. </w:t>
      </w:r>
    </w:p>
    <w:p>
      <w:r>
        <w:rPr>
          <w:rFonts w:ascii="Calibri" w:hAnsi="Calibri"/>
          <w:b/>
          <w:color w:val="525866"/>
          <w:sz w:val="22"/>
        </w:rPr>
        <w:t xml:space="preserve">Key read-through for META: </w:t>
      </w:r>
      <w:r>
        <w:rPr>
          <w:rFonts w:ascii="Calibri" w:hAnsi="Calibri"/>
          <w:color w:val="525866"/>
          <w:sz w:val="22"/>
        </w:rPr>
        <w:t>Broad-based advertiser demand across verticals (retail, finance, travel) in Q2 2026 is a positive signal for META’s own ad revenue. Alphabet specifically called out that AI-powered ad tools (Imax, Pmax) drove 15% more conversions at similar ROAS, and that monetization on AI Overview queries is ‘encouraging’ — both themes directly parallel META’s own AI ad stack narrative (Lattice, GEM model, adaptive ranking). The FIFA World Cup 2026 drove 1.7B unique YouTube viewers, suggesting strong brand advertising spend in Q2 that likely benefited Instagram and Facebook video as well.</w:t>
      </w:r>
    </w:p>
    <w:p>
      <w:pPr>
        <w:pStyle w:val="Heading4"/>
      </w:pPr>
      <w:r>
        <w:rPr>
          <w:rFonts w:ascii="Calibri" w:hAnsi="Calibri"/>
          <w:b/>
          <w:color w:val="3B4259"/>
          <w:sz w:val="22"/>
        </w:rPr>
        <w:t>AI CapEx — Negative Read-Through for META Stock (Not Fundamentals)</w:t>
      </w:r>
    </w:p>
    <w:p>
      <w:r>
        <w:rPr>
          <w:rFonts w:ascii="Calibri" w:hAnsi="Calibri"/>
          <w:color w:val="525866"/>
          <w:sz w:val="22"/>
        </w:rPr>
        <w:t>Alphabet raised its FY 2026 capex guidance by $15B to $195–$205B (from $180–$190B), reported negative free cash flow of -$5.9B in Q2 (first time in company history), and guided for capex to ‘increase significantly’ in 2027. The stock fell 5–7% on the news.</w:t>
      </w:r>
    </w:p>
    <w:p>
      <w:r>
        <w:rPr>
          <w:rFonts w:ascii="Calibri" w:hAnsi="Calibri"/>
          <w:b/>
          <w:color w:val="525866"/>
          <w:sz w:val="22"/>
        </w:rPr>
        <w:t xml:space="preserve">Key read-through for META: </w:t>
      </w:r>
      <w:r>
        <w:rPr>
          <w:rFonts w:ascii="Calibri" w:hAnsi="Calibri"/>
          <w:color w:val="525866"/>
          <w:sz w:val="22"/>
        </w:rPr>
        <w:t xml:space="preserve">This is the most critical read-through heading into META’s print. The market’s severe negative reaction to Alphabet’s capex raise — despite a strong revenue beat and 82% Google Cloud growth — demonstrates that </w:t>
      </w:r>
    </w:p>
    <w:p>
      <w:r>
        <w:rPr>
          <w:rFonts w:ascii="Calibri" w:hAnsi="Calibri"/>
          <w:b/>
          <w:color w:val="525866"/>
          <w:sz w:val="22"/>
        </w:rPr>
        <w:t>investor tolerance for open-ended AI infrastructure spending is at a breaking point</w:t>
      </w:r>
      <w:r>
        <w:rPr>
          <w:rFonts w:ascii="Calibri" w:hAnsi="Calibri"/>
          <w:color w:val="525866"/>
          <w:sz w:val="22"/>
        </w:rPr>
        <w:t>. META faces a higher bar than Alphabet because, as Bloomberg Intelligence’s Mandep Singh noted, ‘META faces a particularly high bar for capex increases because it does not have a cloud business to offset the spending, unlike Microsoft.’ Any capex raise by META tomorrow will be judged more harshly than Alphabet’s was.</w:t>
      </w:r>
    </w:p>
    <w:p>
      <w:r>
        <w:rPr>
          <w:rFonts w:ascii="Calibri" w:hAnsi="Calibri"/>
          <w:b/>
          <w:color w:val="525866"/>
          <w:sz w:val="22"/>
        </w:rPr>
        <w:t xml:space="preserve">Alphabet management commentary on capex rationale: </w:t>
      </w:r>
      <w:r>
        <w:rPr>
          <w:rFonts w:ascii="Calibri" w:hAnsi="Calibri"/>
          <w:color w:val="525866"/>
          <w:sz w:val="22"/>
        </w:rPr>
        <w:t>CEO Sundar Pichai stated the increase ‘is primarily due to an acceleration in the delivery of capacity to meet growing demand,’ noting the company is ‘still in a supply-constrained environment.’ Alphabet also disclosed it will expand use of third-party capacity in Q3 as a bridging strategy, which will create ‘modest margin pressure for cloud.’ This supply-constrained framing is consistent with META’s own Q1 commentary that it has ‘continued to underestimate compute needs.’</w:t>
      </w:r>
    </w:p>
    <w:p>
      <w:pPr>
        <w:pStyle w:val="Heading4"/>
      </w:pPr>
      <w:r>
        <w:rPr>
          <w:rFonts w:ascii="Calibri" w:hAnsi="Calibri"/>
          <w:b/>
          <w:color w:val="3B4259"/>
          <w:sz w:val="22"/>
        </w:rPr>
        <w:t>Google Cloud — Indirect Read-Through for META’s Hyperscaler Ambitions</w:t>
      </w:r>
    </w:p>
    <w:p>
      <w:r>
        <w:rPr>
          <w:rFonts w:ascii="Calibri" w:hAnsi="Calibri"/>
          <w:color w:val="525866"/>
          <w:sz w:val="22"/>
        </w:rPr>
        <w:t>Google Cloud grew 82% YoY to $24.8B in Q2 2026, with a $514B backlog and 36% operating margins (matching AWS). Alphabet noted that existing cloud deals are renewing ‘with exceptional demand.’</w:t>
      </w:r>
    </w:p>
    <w:p>
      <w:r>
        <w:rPr>
          <w:rFonts w:ascii="Calibri" w:hAnsi="Calibri"/>
          <w:b/>
          <w:color w:val="525866"/>
          <w:sz w:val="22"/>
        </w:rPr>
        <w:t xml:space="preserve">Key read-through for META: </w:t>
      </w:r>
      <w:r>
        <w:rPr>
          <w:rFonts w:ascii="Calibri" w:hAnsi="Calibri"/>
          <w:color w:val="525866"/>
          <w:sz w:val="22"/>
        </w:rPr>
        <w:t>META is actively pursuing a hyperscaler strategy (hiring AWS executive Dave Brown, in talks to sell compute to Anthropic at $10B/2-year). Alphabet’s cloud results validate that enterprise AI demand is real and growing rapidly, which supports the long-term ROI case for META’s infrastructure buildout. However, it also raises the bar: if META enters the cloud market, it will compete against a Google Cloud business growing at 82% with $500B+ in backlog.</w:t>
      </w:r>
    </w:p>
    <w:p>
      <w:pPr>
        <w:pStyle w:val="Heading4"/>
      </w:pPr>
      <w:r>
        <w:rPr>
          <w:rFonts w:ascii="Calibri" w:hAnsi="Calibri"/>
          <w:b/>
          <w:color w:val="3B4259"/>
          <w:sz w:val="22"/>
        </w:rPr>
        <w:t>Search &amp; AI Overviews — Mixed Read-Through</w:t>
      </w:r>
    </w:p>
    <w:p>
      <w:r>
        <w:rPr>
          <w:rFonts w:ascii="Calibri" w:hAnsi="Calibri"/>
          <w:color w:val="525866"/>
          <w:sz w:val="22"/>
        </w:rPr>
        <w:t>Alphabet reported that AI Overviews now appear in 43% of searches (up from 15% a year ago), with AI Mode visits rising from 126M to 279M monthly. Monetization on AI Overview queries is ‘encouraging.’ However, search revenue of $63.3B was described as a ‘slight miss’ vs. expectations, and Alphabet noted it will begin lapping an acceleration in search performance that started in Q3 2025.</w:t>
      </w:r>
    </w:p>
    <w:p>
      <w:r>
        <w:rPr>
          <w:rFonts w:ascii="Calibri" w:hAnsi="Calibri"/>
          <w:b/>
          <w:color w:val="525866"/>
          <w:sz w:val="22"/>
        </w:rPr>
        <w:t xml:space="preserve">Key read-through for META: </w:t>
      </w:r>
      <w:r>
        <w:rPr>
          <w:rFonts w:ascii="Calibri" w:hAnsi="Calibri"/>
          <w:color w:val="525866"/>
          <w:sz w:val="22"/>
        </w:rPr>
        <w:t>The AI-driven engagement and monetization gains at Google Search are directionally consistent with META’s own AI recommendation improvements (10% Reels time spent lift, 8%+ Facebook video time growth). The lapping dynamic Alphabet flagged for Q3 2026 is a potential parallel risk for META — Q1 2026’s 19% impression growth was a very high base that Q2 2026 consensus already assumes will decelerate to ~13%.</w:t>
      </w:r>
    </w:p>
    <w:p>
      <w:pPr>
        <w:pStyle w:val="Heading3"/>
      </w:pPr>
      <w:r>
        <w:rPr>
          <w:rFonts w:ascii="Calibri" w:hAnsi="Calibri"/>
          <w:b/>
          <w:color w:val="3B4259"/>
          <w:sz w:val="24"/>
        </w:rPr>
        <w:t>B. Reddit (RDDT) — Q2 2026 Pre-Earnings News Flow (July 2026)</w:t>
      </w:r>
    </w:p>
    <w:p>
      <w:r>
        <w:rPr>
          <w:rFonts w:ascii="Calibri" w:hAnsi="Calibri"/>
          <w:b/>
          <w:color w:val="525866"/>
          <w:sz w:val="22"/>
        </w:rPr>
        <w:t xml:space="preserve">Eligibility: </w:t>
      </w:r>
      <w:r>
        <w:rPr>
          <w:rFonts w:ascii="Calibri" w:hAnsi="Calibri"/>
          <w:color w:val="525866"/>
          <w:sz w:val="22"/>
        </w:rPr>
        <w:t>✓ Eligible — RDDT has not yet reported Q2 2026, but material news flow in July 2026 about its Q2 2026 business dynamics is relevant as a read-through to the digital advertising environment.</w:t>
      </w:r>
    </w:p>
    <w:p>
      <w:r>
        <w:rPr>
          <w:rFonts w:ascii="Calibri" w:hAnsi="Calibri"/>
          <w:color w:val="525866"/>
          <w:sz w:val="22"/>
        </w:rPr>
        <w:t>Reddit disclosed it is considering ending its $60M annual data licensing deal with Google for AI training, with its stock falling 8–9% on the news (July 22, 2026). Analysts noted that DAU growth is expected to slow to ~12% in 2026 from 19% in 2025, with Wells Fargo attributing part of the deceleration to users finding Reddit content within LLMs rather than visiting the site directly.</w:t>
      </w:r>
    </w:p>
    <w:p>
      <w:r>
        <w:rPr>
          <w:rFonts w:ascii="Calibri" w:hAnsi="Calibri"/>
          <w:b/>
          <w:color w:val="525866"/>
          <w:sz w:val="22"/>
        </w:rPr>
        <w:t xml:space="preserve">Key read-through for META: </w:t>
      </w:r>
      <w:r>
        <w:rPr>
          <w:rFonts w:ascii="Calibri" w:hAnsi="Calibri"/>
          <w:color w:val="525866"/>
          <w:sz w:val="22"/>
        </w:rPr>
        <w:t xml:space="preserve">Reddit’s potential Google data deal termination highlights the </w:t>
      </w:r>
    </w:p>
    <w:p>
      <w:r>
        <w:rPr>
          <w:rFonts w:ascii="Calibri" w:hAnsi="Calibri"/>
          <w:b/>
          <w:color w:val="525866"/>
          <w:sz w:val="22"/>
        </w:rPr>
        <w:t>growing tension between AI content aggregation and platform traffic</w:t>
      </w:r>
      <w:r>
        <w:rPr>
          <w:rFonts w:ascii="Calibri" w:hAnsi="Calibri"/>
          <w:color w:val="525866"/>
          <w:sz w:val="22"/>
        </w:rPr>
        <w:t>. For META, this is a double-edged dynamic: AI Overviews and LLMs could reduce referral traffic to Facebook/Instagram content, but META’s closed ecosystem (users stay within the app) makes it less exposed than open-web publishers like Reddit. The DAU growth deceleration at Reddit is a mild negative read-through for the broader social media engagement environment, though META’s own Q1 data (3.56B DAP, strong video engagement) suggests it is not experiencing the same headwinds.</w:t>
      </w:r>
    </w:p>
    <w:p>
      <w:pPr>
        <w:pStyle w:val="Heading3"/>
      </w:pPr>
      <w:r>
        <w:rPr>
          <w:rFonts w:ascii="Calibri" w:hAnsi="Calibri"/>
          <w:b/>
          <w:color w:val="3B4259"/>
          <w:sz w:val="24"/>
        </w:rPr>
        <w:t>C. Snap (SNAP) — Teen Safety Settlement (July 21, 2026)</w:t>
      </w:r>
    </w:p>
    <w:p>
      <w:r>
        <w:rPr>
          <w:rFonts w:ascii="Calibri" w:hAnsi="Calibri"/>
          <w:b/>
          <w:color w:val="525866"/>
          <w:sz w:val="22"/>
        </w:rPr>
        <w:t xml:space="preserve">Eligibility: </w:t>
      </w:r>
      <w:r>
        <w:rPr>
          <w:rFonts w:ascii="Calibri" w:hAnsi="Calibri"/>
          <w:color w:val="525866"/>
          <w:sz w:val="22"/>
        </w:rPr>
        <w:t>✓ Eligible — Snap reached a tentative settlement in the social media addiction lawsuit (July 21, 2026), which is directly relevant to META’s own pending litigation in the same case.</w:t>
      </w:r>
    </w:p>
    <w:p>
      <w:r>
        <w:rPr>
          <w:rFonts w:ascii="Calibri" w:hAnsi="Calibri"/>
          <w:color w:val="525866"/>
          <w:sz w:val="22"/>
        </w:rPr>
        <w:t>Snap, Google’s YouTube, and TikTok all reached tentative settlements in the Los Angeles Superior Court social media addiction bellwether trial. The plaintiff in the META-specific case subsequently dropped the suit without payment (July 22, 2026), though META noted it ‘will not back away from defending ourselves against baseless lawsuits.’</w:t>
      </w:r>
    </w:p>
    <w:p>
      <w:r>
        <w:rPr>
          <w:rFonts w:ascii="Calibri" w:hAnsi="Calibri"/>
          <w:b/>
          <w:color w:val="525866"/>
          <w:sz w:val="22"/>
        </w:rPr>
        <w:t xml:space="preserve">Key read-through for META: </w:t>
      </w:r>
      <w:r>
        <w:rPr>
          <w:rFonts w:ascii="Calibri" w:hAnsi="Calibri"/>
          <w:color w:val="525866"/>
          <w:sz w:val="22"/>
        </w:rPr>
        <w:t>The settlement activity by peers suggests the industry is moving toward resolution of the first wave of teen safety litigation. For META, the dropped bellwether case is a near-term positive, but the company still has additional trials scheduled in 2026 and faces the New Mexico case where it was ordered to pay $375M in penalties. The Snap settlement precedent may increase pressure on META to settle remaining cases rather than litigate, which could result in a material charge but also remove a significant overhang.</w:t>
      </w:r>
    </w:p>
    <w:p>
      <w:pPr>
        <w:pStyle w:val="Heading3"/>
      </w:pPr>
      <w:r>
        <w:rPr>
          <w:rFonts w:ascii="Calibri" w:hAnsi="Calibri"/>
          <w:b/>
          <w:color w:val="3B4259"/>
          <w:sz w:val="24"/>
        </w:rPr>
        <w:t>D.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Commentary Date</w:t>
            </w:r>
          </w:p>
        </w:tc>
        <w:tc>
          <w:tcPr>
            <w:tcW w:type="dxa" w:w="1728"/>
            <w:shd w:val="clear" w:color="auto" w:fill="3B4259"/>
          </w:tcPr>
          <w:p>
            <w:r>
              <w:rPr>
                <w:rFonts w:ascii="Calibri" w:hAnsi="Calibri"/>
                <w:b/>
                <w:color w:val="FFFFFF"/>
                <w:sz w:val="22"/>
              </w:rPr>
              <w:t>Topic</w:t>
            </w:r>
          </w:p>
        </w:tc>
        <w:tc>
          <w:tcPr>
            <w:tcW w:type="dxa" w:w="1728"/>
            <w:shd w:val="clear" w:color="auto" w:fill="3B4259"/>
          </w:tcPr>
          <w:p>
            <w:r>
              <w:rPr>
                <w:rFonts w:ascii="Calibri" w:hAnsi="Calibri"/>
                <w:b/>
                <w:color w:val="FFFFFF"/>
                <w:sz w:val="22"/>
              </w:rPr>
              <w:t>Direction for META</w:t>
            </w:r>
          </w:p>
        </w:tc>
        <w:tc>
          <w:tcPr>
            <w:tcW w:type="dxa" w:w="1728"/>
            <w:shd w:val="clear" w:color="auto" w:fill="3B4259"/>
          </w:tcPr>
          <w:p>
            <w:r>
              <w:rPr>
                <w:rFonts w:ascii="Calibri" w:hAnsi="Calibri"/>
                <w:b/>
                <w:color w:val="FFFFFF"/>
                <w:sz w:val="22"/>
              </w:rPr>
              <w:t>Key Implication</w:t>
            </w:r>
          </w:p>
        </w:tc>
      </w:tr>
      <w:tr>
        <w:tc>
          <w:tcPr>
            <w:tcW w:type="dxa" w:w="1728"/>
          </w:tcPr>
          <w:p>
            <w:r>
              <w:rPr>
                <w:rFonts w:ascii="Calibri" w:hAnsi="Calibri"/>
                <w:sz w:val="22"/>
              </w:rPr>
              <w:t>GOOGL</w:t>
            </w:r>
          </w:p>
        </w:tc>
        <w:tc>
          <w:tcPr>
            <w:tcW w:type="dxa" w:w="1728"/>
          </w:tcPr>
          <w:p>
            <w:r>
              <w:rPr>
                <w:rFonts w:ascii="Calibri" w:hAnsi="Calibri"/>
                <w:sz w:val="22"/>
              </w:rPr>
              <w:t>Jul 22, 2026 (Q2 2026 earnings)</w:t>
            </w:r>
          </w:p>
        </w:tc>
        <w:tc>
          <w:tcPr>
            <w:tcW w:type="dxa" w:w="1728"/>
          </w:tcPr>
          <w:p>
            <w:r>
              <w:rPr>
                <w:rFonts w:ascii="Calibri" w:hAnsi="Calibri"/>
                <w:sz w:val="22"/>
              </w:rPr>
              <w:t>Digital ad demand: +14% total ads, +17% Search, +13% YouTube</w:t>
            </w:r>
          </w:p>
        </w:tc>
        <w:tc>
          <w:tcPr>
            <w:tcW w:type="dxa" w:w="1728"/>
          </w:tcPr>
          <w:p>
            <w:r>
              <w:rPr>
                <w:rFonts w:ascii="Calibri" w:hAnsi="Calibri"/>
                <w:b/>
                <w:color w:val="30A46C"/>
                <w:sz w:val="22"/>
              </w:rPr>
              <w:t>Positive</w:t>
            </w:r>
          </w:p>
        </w:tc>
        <w:tc>
          <w:tcPr>
            <w:tcW w:type="dxa" w:w="1728"/>
          </w:tcPr>
          <w:p>
            <w:r>
              <w:rPr>
                <w:rFonts w:ascii="Calibri" w:hAnsi="Calibri"/>
                <w:sz w:val="22"/>
              </w:rPr>
              <w:t>Broad-based advertiser demand across verticals supports META’s Q2 ad revenue outlook</w:t>
            </w:r>
          </w:p>
        </w:tc>
      </w:tr>
      <w:tr>
        <w:tc>
          <w:tcPr>
            <w:tcW w:type="dxa" w:w="1728"/>
          </w:tcPr>
          <w:p>
            <w:r>
              <w:rPr>
                <w:rFonts w:ascii="Calibri" w:hAnsi="Calibri"/>
                <w:sz w:val="22"/>
              </w:rPr>
              <w:t>GOOGL</w:t>
            </w:r>
          </w:p>
        </w:tc>
        <w:tc>
          <w:tcPr>
            <w:tcW w:type="dxa" w:w="1728"/>
          </w:tcPr>
          <w:p>
            <w:r>
              <w:rPr>
                <w:rFonts w:ascii="Calibri" w:hAnsi="Calibri"/>
                <w:sz w:val="22"/>
              </w:rPr>
              <w:t>Jul 22, 2026 (Q2 2026 earnings)</w:t>
            </w:r>
          </w:p>
        </w:tc>
        <w:tc>
          <w:tcPr>
            <w:tcW w:type="dxa" w:w="1728"/>
          </w:tcPr>
          <w:p>
            <w:r>
              <w:rPr>
                <w:rFonts w:ascii="Calibri" w:hAnsi="Calibri"/>
                <w:sz w:val="22"/>
              </w:rPr>
              <w:t>AI ad tools: 15% more conversions from Imax/Pmax; AI Overviews monetization ‘encouraging’</w:t>
            </w:r>
          </w:p>
        </w:tc>
        <w:tc>
          <w:tcPr>
            <w:tcW w:type="dxa" w:w="1728"/>
          </w:tcPr>
          <w:p>
            <w:r>
              <w:rPr>
                <w:rFonts w:ascii="Calibri" w:hAnsi="Calibri"/>
                <w:b/>
                <w:color w:val="30A46C"/>
                <w:sz w:val="22"/>
              </w:rPr>
              <w:t>Positive</w:t>
            </w:r>
          </w:p>
        </w:tc>
        <w:tc>
          <w:tcPr>
            <w:tcW w:type="dxa" w:w="1728"/>
          </w:tcPr>
          <w:p>
            <w:r>
              <w:rPr>
                <w:rFonts w:ascii="Calibri" w:hAnsi="Calibri"/>
                <w:sz w:val="22"/>
              </w:rPr>
              <w:t>Validates AI-driven ad performance improvement narrative; parallel to META’s Lattice/GEM/adaptive ranking gains</w:t>
            </w:r>
          </w:p>
        </w:tc>
      </w:tr>
      <w:tr>
        <w:tc>
          <w:tcPr>
            <w:tcW w:type="dxa" w:w="1728"/>
          </w:tcPr>
          <w:p>
            <w:r>
              <w:rPr>
                <w:rFonts w:ascii="Calibri" w:hAnsi="Calibri"/>
                <w:sz w:val="22"/>
              </w:rPr>
              <w:t>GOOGL</w:t>
            </w:r>
          </w:p>
        </w:tc>
        <w:tc>
          <w:tcPr>
            <w:tcW w:type="dxa" w:w="1728"/>
          </w:tcPr>
          <w:p>
            <w:r>
              <w:rPr>
                <w:rFonts w:ascii="Calibri" w:hAnsi="Calibri"/>
                <w:sz w:val="22"/>
              </w:rPr>
              <w:t>Jul 22–23, 2026 (Q2 2026 earnings reaction)</w:t>
            </w:r>
          </w:p>
        </w:tc>
        <w:tc>
          <w:tcPr>
            <w:tcW w:type="dxa" w:w="1728"/>
          </w:tcPr>
          <w:p>
            <w:r>
              <w:rPr>
                <w:rFonts w:ascii="Calibri" w:hAnsi="Calibri"/>
                <w:sz w:val="22"/>
              </w:rPr>
              <w:t>CapEx raised $15B to $195–$205B; FCF turned negative for first time; stock -5 to -7%</w:t>
            </w:r>
          </w:p>
        </w:tc>
        <w:tc>
          <w:tcPr>
            <w:tcW w:type="dxa" w:w="1728"/>
          </w:tcPr>
          <w:p>
            <w:r>
              <w:rPr>
                <w:rFonts w:ascii="Calibri" w:hAnsi="Calibri"/>
                <w:b/>
                <w:color w:val="E5484D"/>
                <w:sz w:val="22"/>
              </w:rPr>
              <w:t>Negative (stock risk)</w:t>
            </w:r>
          </w:p>
        </w:tc>
        <w:tc>
          <w:tcPr>
            <w:tcW w:type="dxa" w:w="1728"/>
          </w:tcPr>
          <w:p>
            <w:r>
              <w:rPr>
                <w:rFonts w:ascii="Calibri" w:hAnsi="Calibri"/>
                <w:sz w:val="22"/>
              </w:rPr>
              <w:t>Market is punishing capex raises severely; META has no cloud offset and faces a higher bar; any capex raise tomorrow will likely trigger selling</w:t>
            </w:r>
          </w:p>
        </w:tc>
      </w:tr>
      <w:tr>
        <w:tc>
          <w:tcPr>
            <w:tcW w:type="dxa" w:w="1728"/>
          </w:tcPr>
          <w:p>
            <w:r>
              <w:rPr>
                <w:rFonts w:ascii="Calibri" w:hAnsi="Calibri"/>
                <w:sz w:val="22"/>
              </w:rPr>
              <w:t>GOOGL</w:t>
            </w:r>
          </w:p>
        </w:tc>
        <w:tc>
          <w:tcPr>
            <w:tcW w:type="dxa" w:w="1728"/>
          </w:tcPr>
          <w:p>
            <w:r>
              <w:rPr>
                <w:rFonts w:ascii="Calibri" w:hAnsi="Calibri"/>
                <w:sz w:val="22"/>
              </w:rPr>
              <w:t>Jul 22, 2026 (Q2 2026 earnings)</w:t>
            </w:r>
          </w:p>
        </w:tc>
        <w:tc>
          <w:tcPr>
            <w:tcW w:type="dxa" w:w="1728"/>
          </w:tcPr>
          <w:p>
            <w:r>
              <w:rPr>
                <w:rFonts w:ascii="Calibri" w:hAnsi="Calibri"/>
                <w:sz w:val="22"/>
              </w:rPr>
              <w:t>Google Cloud +82% YoY; $514B backlog; 36% operating margin</w:t>
            </w:r>
          </w:p>
        </w:tc>
        <w:tc>
          <w:tcPr>
            <w:tcW w:type="dxa" w:w="1728"/>
          </w:tcPr>
          <w:p>
            <w:r>
              <w:rPr>
                <w:rFonts w:ascii="Calibri" w:hAnsi="Calibri"/>
                <w:b/>
                <w:color w:val="002FA7"/>
                <w:sz w:val="22"/>
              </w:rPr>
              <w:t>Mixed</w:t>
            </w:r>
          </w:p>
        </w:tc>
        <w:tc>
          <w:tcPr>
            <w:tcW w:type="dxa" w:w="1728"/>
          </w:tcPr>
          <w:p>
            <w:r>
              <w:rPr>
                <w:rFonts w:ascii="Calibri" w:hAnsi="Calibri"/>
                <w:sz w:val="22"/>
              </w:rPr>
              <w:t>Validates AI infrastructure ROI long-term; raises competitive bar if META enters cloud market</w:t>
            </w:r>
          </w:p>
        </w:tc>
      </w:tr>
      <w:tr>
        <w:tc>
          <w:tcPr>
            <w:tcW w:type="dxa" w:w="1728"/>
          </w:tcPr>
          <w:p>
            <w:r>
              <w:rPr>
                <w:rFonts w:ascii="Calibri" w:hAnsi="Calibri"/>
                <w:sz w:val="22"/>
              </w:rPr>
              <w:t>GOOGL</w:t>
            </w:r>
          </w:p>
        </w:tc>
        <w:tc>
          <w:tcPr>
            <w:tcW w:type="dxa" w:w="1728"/>
          </w:tcPr>
          <w:p>
            <w:r>
              <w:rPr>
                <w:rFonts w:ascii="Calibri" w:hAnsi="Calibri"/>
                <w:sz w:val="22"/>
              </w:rPr>
              <w:t>Jul 22, 2026 (Q2 2026 earnings)</w:t>
            </w:r>
          </w:p>
        </w:tc>
        <w:tc>
          <w:tcPr>
            <w:tcW w:type="dxa" w:w="1728"/>
          </w:tcPr>
          <w:p>
            <w:r>
              <w:rPr>
                <w:rFonts w:ascii="Calibri" w:hAnsi="Calibri"/>
                <w:sz w:val="22"/>
              </w:rPr>
              <w:t>FIFA World Cup drove 1.7B unique YouTube viewers; brand ad strength in living room</w:t>
            </w:r>
          </w:p>
        </w:tc>
        <w:tc>
          <w:tcPr>
            <w:tcW w:type="dxa" w:w="1728"/>
          </w:tcPr>
          <w:p>
            <w:r>
              <w:rPr>
                <w:rFonts w:ascii="Calibri" w:hAnsi="Calibri"/>
                <w:b/>
                <w:color w:val="30A46C"/>
                <w:sz w:val="22"/>
              </w:rPr>
              <w:t>Positive</w:t>
            </w:r>
          </w:p>
        </w:tc>
        <w:tc>
          <w:tcPr>
            <w:tcW w:type="dxa" w:w="1728"/>
          </w:tcPr>
          <w:p>
            <w:r>
              <w:rPr>
                <w:rFonts w:ascii="Calibri" w:hAnsi="Calibri"/>
                <w:sz w:val="22"/>
              </w:rPr>
              <w:t>Strong brand ad spend in Q2 likely benefited Instagram/Facebook video; supports price-per-ad outlook</w:t>
            </w:r>
          </w:p>
        </w:tc>
      </w:tr>
      <w:tr>
        <w:tc>
          <w:tcPr>
            <w:tcW w:type="dxa" w:w="1728"/>
          </w:tcPr>
          <w:p>
            <w:r>
              <w:rPr>
                <w:rFonts w:ascii="Calibri" w:hAnsi="Calibri"/>
                <w:sz w:val="22"/>
              </w:rPr>
              <w:t>GOOGL</w:t>
            </w:r>
          </w:p>
        </w:tc>
        <w:tc>
          <w:tcPr>
            <w:tcW w:type="dxa" w:w="1728"/>
          </w:tcPr>
          <w:p>
            <w:r>
              <w:rPr>
                <w:rFonts w:ascii="Calibri" w:hAnsi="Calibri"/>
                <w:sz w:val="22"/>
              </w:rPr>
              <w:t>Jul 22, 2026 (Q2 2026 earnings)</w:t>
            </w:r>
          </w:p>
        </w:tc>
        <w:tc>
          <w:tcPr>
            <w:tcW w:type="dxa" w:w="1728"/>
          </w:tcPr>
          <w:p>
            <w:r>
              <w:rPr>
                <w:rFonts w:ascii="Calibri" w:hAnsi="Calibri"/>
                <w:sz w:val="22"/>
              </w:rPr>
              <w:t>Q3 guidance: slight FX headwind; will lap Q3 2025 search acceleration</w:t>
            </w:r>
          </w:p>
        </w:tc>
        <w:tc>
          <w:tcPr>
            <w:tcW w:type="dxa" w:w="1728"/>
          </w:tcPr>
          <w:p>
            <w:r>
              <w:rPr>
                <w:rFonts w:ascii="Calibri" w:hAnsi="Calibri"/>
                <w:b/>
                <w:color w:val="002FA7"/>
                <w:sz w:val="22"/>
              </w:rPr>
              <w:t>Mixed</w:t>
            </w:r>
          </w:p>
        </w:tc>
        <w:tc>
          <w:tcPr>
            <w:tcW w:type="dxa" w:w="1728"/>
          </w:tcPr>
          <w:p>
            <w:r>
              <w:rPr>
                <w:rFonts w:ascii="Calibri" w:hAnsi="Calibri"/>
                <w:sz w:val="22"/>
              </w:rPr>
              <w:t>Lapping dynamic is a parallel risk for META’s Q3 guidance; Q1 2026’s 19% impression growth is a high base</w:t>
            </w:r>
          </w:p>
        </w:tc>
      </w:tr>
      <w:tr>
        <w:tc>
          <w:tcPr>
            <w:tcW w:type="dxa" w:w="1728"/>
          </w:tcPr>
          <w:p>
            <w:r>
              <w:rPr>
                <w:rFonts w:ascii="Calibri" w:hAnsi="Calibri"/>
                <w:sz w:val="22"/>
              </w:rPr>
              <w:t>RDDT</w:t>
            </w:r>
          </w:p>
        </w:tc>
        <w:tc>
          <w:tcPr>
            <w:tcW w:type="dxa" w:w="1728"/>
          </w:tcPr>
          <w:p>
            <w:r>
              <w:rPr>
                <w:rFonts w:ascii="Calibri" w:hAnsi="Calibri"/>
                <w:sz w:val="22"/>
              </w:rPr>
              <w:t>Jul 22, 2026 (news flow)</w:t>
            </w:r>
          </w:p>
        </w:tc>
        <w:tc>
          <w:tcPr>
            <w:tcW w:type="dxa" w:w="1728"/>
          </w:tcPr>
          <w:p>
            <w:r>
              <w:rPr>
                <w:rFonts w:ascii="Calibri" w:hAnsi="Calibri"/>
                <w:sz w:val="22"/>
              </w:rPr>
              <w:t>Considering ending $60M Google data deal; DAU growth slowing to ~12% in 2026</w:t>
            </w:r>
          </w:p>
        </w:tc>
        <w:tc>
          <w:tcPr>
            <w:tcW w:type="dxa" w:w="1728"/>
          </w:tcPr>
          <w:p>
            <w:r>
              <w:rPr>
                <w:rFonts w:ascii="Calibri" w:hAnsi="Calibri"/>
                <w:b/>
                <w:color w:val="E5484D"/>
                <w:sz w:val="22"/>
              </w:rPr>
              <w:t>Mild Negative</w:t>
            </w:r>
          </w:p>
        </w:tc>
        <w:tc>
          <w:tcPr>
            <w:tcW w:type="dxa" w:w="1728"/>
          </w:tcPr>
          <w:p>
            <w:r>
              <w:rPr>
                <w:rFonts w:ascii="Calibri" w:hAnsi="Calibri"/>
                <w:sz w:val="22"/>
              </w:rPr>
              <w:t>AI content aggregation reducing open-web traffic; META’s closed ecosystem is more insulated but not immune</w:t>
            </w:r>
          </w:p>
        </w:tc>
      </w:tr>
      <w:tr>
        <w:tc>
          <w:tcPr>
            <w:tcW w:type="dxa" w:w="1728"/>
          </w:tcPr>
          <w:p>
            <w:r>
              <w:rPr>
                <w:rFonts w:ascii="Calibri" w:hAnsi="Calibri"/>
                <w:sz w:val="22"/>
              </w:rPr>
              <w:t>SNAP</w:t>
            </w:r>
          </w:p>
        </w:tc>
        <w:tc>
          <w:tcPr>
            <w:tcW w:type="dxa" w:w="1728"/>
          </w:tcPr>
          <w:p>
            <w:r>
              <w:rPr>
                <w:rFonts w:ascii="Calibri" w:hAnsi="Calibri"/>
                <w:sz w:val="22"/>
              </w:rPr>
              <w:t>Jul 21, 2026 (news flow)</w:t>
            </w:r>
          </w:p>
        </w:tc>
        <w:tc>
          <w:tcPr>
            <w:tcW w:type="dxa" w:w="1728"/>
          </w:tcPr>
          <w:p>
            <w:r>
              <w:rPr>
                <w:rFonts w:ascii="Calibri" w:hAnsi="Calibri"/>
                <w:sz w:val="22"/>
              </w:rPr>
              <w:t>Tentative settlement in social media addiction bellwether trial</w:t>
            </w:r>
          </w:p>
        </w:tc>
        <w:tc>
          <w:tcPr>
            <w:tcW w:type="dxa" w:w="1728"/>
          </w:tcPr>
          <w:p>
            <w:r>
              <w:rPr>
                <w:rFonts w:ascii="Calibri" w:hAnsi="Calibri"/>
                <w:b/>
                <w:color w:val="002FA7"/>
                <w:sz w:val="22"/>
              </w:rPr>
              <w:t>Mixed</w:t>
            </w:r>
          </w:p>
        </w:tc>
        <w:tc>
          <w:tcPr>
            <w:tcW w:type="dxa" w:w="1728"/>
          </w:tcPr>
          <w:p>
            <w:r>
              <w:rPr>
                <w:rFonts w:ascii="Calibri" w:hAnsi="Calibri"/>
                <w:sz w:val="22"/>
              </w:rPr>
              <w:t>Industry moving toward resolution; may increase pressure on META to settle remaining cases; removes overhang if resolved</w:t>
            </w:r>
          </w:p>
        </w:tc>
      </w:tr>
    </w:tbl>
    <w:p>
      <w:r>
        <w:rPr>
          <w:rFonts w:ascii="Calibri" w:hAnsi="Calibri"/>
          <w:b/>
          <w:color w:val="525866"/>
          <w:sz w:val="22"/>
        </w:rPr>
        <w:t xml:space="preserve">Excluded Peers (Ineligible): </w:t>
      </w:r>
      <w:r>
        <w:rPr>
          <w:rFonts w:ascii="Calibri" w:hAnsi="Calibri"/>
          <w:color w:val="525866"/>
          <w:sz w:val="22"/>
        </w:rPr>
        <w:t>Pinterest (PINS), The Trade Desk (TTD), and Snap (SNAP) Q1 2026 earnings commentary (reported April/May 2026) has been excluded as it addresses the prior quarter’s results, not the current Q2 2026 reporting period. Any commentary from these peers about their own Q1 2026 performance does not constitute a valid read-through for META’s Q2 2026 quarter.</w:t>
      </w:r>
    </w:p>
    <w:p>
      <w:r>
        <w:rPr>
          <w:rFonts w:ascii="Calibri" w:hAnsi="Calibri"/>
          <w:i/>
          <w:color w:val="525866"/>
          <w:sz w:val="22"/>
        </w:rPr>
        <w:t>Sources: Alphabet Q2 2026 Earnings Call Transcript (July 22, 2026); News Digest (GOOGL, RDDT, SNAP, July 2026); Bloomberg Intelligence commentary (Mandep Singh, July 26, 2026).</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Revenue, Advertising Revenue, Ad Impressions Growth, Avg. Price Per Ad Growth, Operating Income, EPS (Diluted), CapEx (all periods)</w:t>
      </w:r>
    </w:p>
    <w:p>
      <w:pPr>
        <w:pStyle w:val="ListBullet"/>
        <w:ind w:left="360" w:hanging="360"/>
      </w:pPr>
      <w:r>
        <w:rPr>
          <w:rFonts w:ascii="Calibri" w:hAnsi="Calibri"/>
          <w:b/>
          <w:color w:val="525866"/>
          <w:sz w:val="22"/>
        </w:rPr>
        <w:t>Meta Platforms Q1 2026 Earnings Release &amp; Transcript</w:t>
      </w:r>
      <w:r>
        <w:rPr>
          <w:rFonts w:ascii="Calibri" w:hAnsi="Calibri"/>
          <w:color w:val="525866"/>
          <w:sz w:val="22"/>
        </w:rPr>
        <w:t xml:space="preserve"> (April 29, 2026) — Guidance figures, management commentary, Q1 actuals</w:t>
      </w:r>
    </w:p>
    <w:p>
      <w:pPr>
        <w:pStyle w:val="ListBullet"/>
        <w:ind w:left="360" w:hanging="360"/>
      </w:pPr>
      <w:r>
        <w:rPr>
          <w:rFonts w:ascii="Calibri" w:hAnsi="Calibri"/>
          <w:b/>
          <w:color w:val="525866"/>
          <w:sz w:val="22"/>
        </w:rPr>
        <w:t>Alphabet Q2 2026 Earnings Call Transcript</w:t>
      </w:r>
      <w:r>
        <w:rPr>
          <w:rFonts w:ascii="Calibri" w:hAnsi="Calibri"/>
          <w:color w:val="525866"/>
          <w:sz w:val="22"/>
        </w:rPr>
        <w:t xml:space="preserve"> (July 22, 2026) — Peer read-through data</w:t>
      </w:r>
    </w:p>
    <w:p>
      <w:pPr>
        <w:pStyle w:val="ListBullet"/>
        <w:ind w:left="360" w:hanging="360"/>
      </w:pPr>
      <w:r>
        <w:rPr>
          <w:rFonts w:ascii="Calibri" w:hAnsi="Calibri"/>
          <w:b/>
          <w:color w:val="525866"/>
          <w:sz w:val="22"/>
        </w:rPr>
        <w:t>SEC Form 4 Filings (EDGAR)</w:t>
      </w:r>
      <w:r>
        <w:rPr>
          <w:rFonts w:ascii="Calibri" w:hAnsi="Calibri"/>
          <w:color w:val="525866"/>
          <w:sz w:val="22"/>
        </w:rPr>
        <w:t xml:space="preserve"> — Insider transaction data</w:t>
      </w:r>
    </w:p>
    <w:p>
      <w:pPr>
        <w:pStyle w:val="ListBullet"/>
        <w:ind w:left="360" w:hanging="360"/>
      </w:pPr>
      <w:r>
        <w:rPr>
          <w:rFonts w:ascii="Calibri" w:hAnsi="Calibri"/>
          <w:b/>
          <w:color w:val="525866"/>
          <w:sz w:val="22"/>
        </w:rPr>
        <w:t>News Digest (Implied)</w:t>
      </w:r>
      <w:r>
        <w:rPr>
          <w:rFonts w:ascii="Calibri" w:hAnsi="Calibri"/>
          <w:color w:val="525866"/>
          <w:sz w:val="22"/>
        </w:rPr>
        <w:t xml:space="preserve"> — Material news and developments, July 2026</w:t>
      </w:r>
    </w:p>
    <w:p>
      <w:pPr>
        <w:pStyle w:val="ListBullet"/>
        <w:ind w:left="360" w:hanging="360"/>
      </w:pPr>
      <w:r>
        <w:rPr>
          <w:rFonts w:ascii="Calibri" w:hAnsi="Calibri"/>
          <w:b/>
          <w:color w:val="525866"/>
          <w:sz w:val="22"/>
        </w:rPr>
        <w:t>Stock Performance Decomposition Data</w:t>
      </w:r>
      <w:r>
        <w:rPr>
          <w:rFonts w:ascii="Calibri" w:hAnsi="Calibri"/>
          <w:color w:val="525866"/>
          <w:sz w:val="22"/>
        </w:rPr>
        <w:t xml:space="preserve"> — Multiple expansion/contraction analysis as of July 28,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