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MGM before writing the preview. Let me pull recent earnings materials, filings, and news.Let me read the most recent earnings call transcript and release, plus recent stock price and more news.Let me get recent stock price action and broader recent news to round out the preview.The takeover angle is significant. Let me read the M&amp;A news items.# MGM Resorts International (MGM) — Q2 2026 Earnings Preview</w:t>
      </w:r>
    </w:p>
    <w:bookmarkStart w:id="9" w:name="X67ea1eb080f7ea6581bb189c93585242d1310c4"/>
    <w:p>
      <w:pPr>
        <w:pStyle w:val="Heading3"/>
      </w:pPr>
      <w:r>
        <w:t xml:space="preserve">Reports after market close, July 28, 2026 ("2026Q2 Business Update")</w:t>
      </w:r>
    </w:p>
    <w:p>
      <w:r>
        <w:pict>
          <v:rect style="width:0;height:1.5pt" o:hralign="center" o:hrstd="t" o:hr="t"/>
        </w:pict>
      </w:r>
    </w:p>
    <w:bookmarkEnd w:id="9"/>
    <w:bookmarkStart w:id="10" w:name="X868f52b155ee2fad4b29d9477aadf550e37fcf1"/>
    <w:p>
      <w:pPr>
        <w:pStyle w:val="Heading2"/>
      </w:pPr>
      <w:r>
        <w:t xml:space="preserve">The one thing that matters: this is now an M&amp;A story</w:t>
      </w:r>
    </w:p>
    <w:p>
      <w:pPr>
        <w:pStyle w:val="FirstParagraph"/>
      </w:pPr>
      <w:r>
        <w:t xml:space="preserve">The single most important lens for this print is that MGM is in play. On June 1, People Inc. — Barry Diller's media and internet conglomerate formerly known as IAC, which already owns roughly 26% of MGM — offered $48.30 per share in cash to acquire the remaining ~74% of the company, and MGM has set up a special committee and advisers to evaluate the proposal. According to reporting, conversations have intensified this month.</w:t>
      </w:r>
    </w:p>
    <w:p>
      <w:pPr>
        <w:pStyle w:val="BodyText"/>
      </w:pPr>
      <w:r>
        <w:t xml:space="preserve">The bid values MGM at roughly $12.4 billion in equity, and it lands in the middle of a broader wave of casino consolidation. Diller's takeover bid came after Caesars Entertainment in late May agreed to be acquired by Golden Nugget owner Tilman Fertitta for</w:t>
      </w:r>
      <w:r>
        <w:t xml:space="preserve"> </w:t>
      </w:r>
      <m:oMath>
        <m:r>
          <m:t>5.7</m:t>
        </m:r>
        <m:r>
          <m:t>b</m:t>
        </m:r>
        <m:r>
          <m:t>i</m:t>
        </m:r>
        <m:r>
          <m:t>l</m:t>
        </m:r>
        <m:r>
          <m:t>l</m:t>
        </m:r>
        <m:r>
          <m:t>i</m:t>
        </m:r>
        <m:r>
          <m:t>o</m:t>
        </m:r>
        <m:r>
          <m:t>n</m:t>
        </m:r>
        <m:r>
          <m:rPr>
            <m:sty m:val="p"/>
          </m:rPr>
          <m:t>(</m:t>
        </m:r>
        <m:r>
          <m:t>a</m:t>
        </m:r>
        <m:r>
          <m:t>n</m:t>
        </m:r>
        <m:r>
          <m:t>a</m:t>
        </m:r>
        <m:r>
          <m:t>l</m:t>
        </m:r>
        <m:r>
          <m:t>l</m:t>
        </m:r>
        <m:r>
          <m:rPr>
            <m:sty m:val="p"/>
          </m:rPr>
          <m:t>−</m:t>
        </m:r>
        <m:r>
          <m:t>c</m:t>
        </m:r>
        <m:r>
          <m:t>a</m:t>
        </m:r>
        <m:r>
          <m:t>s</m:t>
        </m:r>
        <m:r>
          <m:t>h</m:t>
        </m:r>
        <m:r>
          <m:t>d</m:t>
        </m:r>
        <m:r>
          <m:t>e</m:t>
        </m:r>
        <m:r>
          <m:t>a</m:t>
        </m:r>
        <m:r>
          <m:t>l</m:t>
        </m:r>
        <m:r>
          <m:t>v</m:t>
        </m:r>
        <m:r>
          <m:t>a</m:t>
        </m:r>
        <m:r>
          <m:t>l</m:t>
        </m:r>
        <m:r>
          <m:t>u</m:t>
        </m:r>
        <m:r>
          <m:t>e</m:t>
        </m:r>
        <m:r>
          <m:t>d</m:t>
        </m:r>
        <m:r>
          <m:t>a</m:t>
        </m:r>
        <m:r>
          <m:t>t</m:t>
        </m:r>
        <m:r>
          <m:t> </m:t>
        </m:r>
      </m:oMath>
      <w:r>
        <w:t xml:space="preserve">17.6 billion including debt). With Caesars going private, MGM becomes not only the largest but one of a dwindling number of publicly traded players on the Strip, with about a 40% footprint including Bellagio, Mandalay Bay and MGM Grand.</w:t>
      </w:r>
    </w:p>
    <w:p>
      <w:pPr>
        <w:pStyle w:val="BodyText"/>
      </w:pPr>
      <w:r>
        <w:rPr>
          <w:b/>
          <w:bCs/>
        </w:rPr>
        <w:t xml:space="preserve">Why it reframes tomorrow's report:</w:t>
      </w:r>
    </w:p>
    <w:p>
      <w:pPr>
        <w:pStyle w:val="Compact"/>
        <w:numPr>
          <w:ilvl w:val="0"/>
          <w:numId w:val="1001"/>
        </w:numPr>
      </w:pPr>
      <w:r>
        <w:t xml:space="preserve">The stock closed at</w:t>
      </w:r>
      <w:r>
        <w:t xml:space="preserve"> </w:t>
      </w:r>
      <w:r>
        <w:rPr>
          <w:b/>
          <w:bCs/>
        </w:rPr>
        <w:t xml:space="preserve">$46.31 on July 27</w:t>
      </w:r>
      <w:r>
        <w:t xml:space="preserve">,</w:t>
      </w:r>
      <w:r>
        <w:t xml:space="preserve"> </w:t>
      </w:r>
      <w:r>
        <w:rPr>
          <w:i/>
          <w:iCs/>
        </w:rPr>
        <w:t xml:space="preserve">below</w:t>
      </w:r>
      <w:r>
        <w:t xml:space="preserve"> </w:t>
      </w:r>
      <w:r>
        <w:t xml:space="preserve">the $48.30 offer — a spread that tells you the market is pricing meaningful deal uncertainty (and/or optionality) rather than treating the bid as a done deal.</w:t>
      </w:r>
    </w:p>
    <w:p>
      <w:pPr>
        <w:pStyle w:val="Compact"/>
        <w:numPr>
          <w:ilvl w:val="0"/>
          <w:numId w:val="1001"/>
        </w:numPr>
      </w:pPr>
      <w:r>
        <w:t xml:space="preserve">Sell-side commentary argues there could be upside to the headline bid. Stifel argued that the Caesars transaction signals MGM could be worth around $50 to $55 a share. Truist's Barry Jonas noted that even with a 20% discount to the Caesars premium, the takeover price still implies a value of roughly $55 for MGM.</w:t>
      </w:r>
    </w:p>
    <w:p>
      <w:pPr>
        <w:pStyle w:val="Compact"/>
        <w:numPr>
          <w:ilvl w:val="0"/>
          <w:numId w:val="1001"/>
        </w:numPr>
      </w:pPr>
      <w:r>
        <w:t xml:space="preserve">Diller has been vocal about undervaluation. He wrote that People began investing in MGM nearly six years ago because it "represented a rare kind of business" with real-world assets AI cannot easily replicate plus exceptional digital growth, adding that "we continue to believe the market materially undervalues the power and durability of MGM's assets."</w:t>
      </w:r>
    </w:p>
    <w:p>
      <w:pPr>
        <w:pStyle w:val="FirstParagraph"/>
      </w:pPr>
      <w:r>
        <w:rPr>
          <w:b/>
          <w:bCs/>
        </w:rPr>
        <w:t xml:space="preserve">What to listen for:</w:t>
      </w:r>
      <w:r>
        <w:t xml:space="preserve"> </w:t>
      </w:r>
      <w:r>
        <w:t xml:space="preserve">Because a special committee process is live, management may be constrained on the call. Watch for (1) any formal response to or update on the People Inc. proposal, (2) whether the board deems $48.30 adequate, and (3) whether the buyback — historically MGM's main value lever — is paused, accelerated, or unchanged during the process. Note the format is being billed as a "Business Update," which itself may signal a more scripted, less forward-looking-guidance-heavy event than a normal quarter.</w:t>
      </w:r>
    </w:p>
    <w:p>
      <w:r>
        <w:pict>
          <v:rect style="width:0;height:1.5pt" o:hralign="center" o:hrstd="t" o:hr="t"/>
        </w:pict>
      </w:r>
    </w:p>
    <w:bookmarkEnd w:id="10"/>
    <w:bookmarkStart w:id="11" w:name="stock-set-up-into-the-print"/>
    <w:p>
      <w:pPr>
        <w:pStyle w:val="Heading2"/>
      </w:pPr>
      <w:r>
        <w:t xml:space="preserve">Stock set-up into the print</w:t>
      </w:r>
    </w:p>
    <w:p>
      <w:pPr>
        <w:pStyle w:val="FirstParagraph"/>
      </w:pPr>
      <w:r>
        <w:t xml:space="preserve">MGM has re-rated hard on the deal news, and positioning is now event-driven rather than fundamentals-driven: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Date</w:t>
            </w:r>
          </w:p>
        </w:tc>
        <w:tc>
          <w:tcPr/>
          <w:p>
            <w:pPr>
              <w:pStyle w:val="Compact"/>
            </w:pPr>
            <w:r>
              <w:t xml:space="preserve">Price</w:t>
            </w:r>
          </w:p>
        </w:tc>
        <w:tc>
          <w:tcPr/>
          <w:p>
            <w:pPr>
              <w:pStyle w:val="Compact"/>
            </w:pPr>
            <w:r>
              <w:t xml:space="preserve">Context</w:t>
            </w:r>
          </w:p>
        </w:tc>
      </w:tr>
      <w:tr>
        <w:tc>
          <w:tcPr/>
          <w:p>
            <w:pPr>
              <w:pStyle w:val="Compact"/>
            </w:pPr>
            <w:r>
              <w:t xml:space="preserve">Jan 2, 2026</w:t>
            </w:r>
          </w:p>
        </w:tc>
        <w:tc>
          <w:tcPr/>
          <w:p>
            <w:pPr>
              <w:pStyle w:val="Compact"/>
            </w:pPr>
            <w:r>
              <w:t xml:space="preserve">$36.49</w:t>
            </w:r>
          </w:p>
        </w:tc>
        <w:tc>
          <w:tcPr/>
          <w:p>
            <w:pPr>
              <w:pStyle w:val="Compact"/>
            </w:pPr>
            <w:r>
              <w:t xml:space="preserve">Start of year</w:t>
            </w:r>
          </w:p>
        </w:tc>
      </w:tr>
      <w:tr>
        <w:tc>
          <w:tcPr/>
          <w:p>
            <w:pPr>
              <w:pStyle w:val="Compact"/>
            </w:pPr>
            <w:r>
              <w:t xml:space="preserve">May 26, 2026</w:t>
            </w:r>
          </w:p>
        </w:tc>
        <w:tc>
          <w:tcPr/>
          <w:p>
            <w:pPr>
              <w:pStyle w:val="Compact"/>
            </w:pPr>
            <w:r>
              <w:t xml:space="preserve">$38.45</w:t>
            </w:r>
          </w:p>
        </w:tc>
        <w:tc>
          <w:tcPr/>
          <w:p>
            <w:pPr>
              <w:pStyle w:val="Compact"/>
            </w:pPr>
            <w:r>
              <w:t xml:space="preserve">Pre-deal speculation</w:t>
            </w:r>
          </w:p>
        </w:tc>
      </w:tr>
      <w:tr>
        <w:tc>
          <w:tcPr/>
          <w:p>
            <w:pPr>
              <w:pStyle w:val="Compact"/>
            </w:pPr>
            <w:r>
              <w:t xml:space="preserve">Jun 1, 2026</w:t>
            </w:r>
          </w:p>
        </w:tc>
        <w:tc>
          <w:tcPr/>
          <w:p>
            <w:pPr>
              <w:pStyle w:val="Compact"/>
            </w:pPr>
            <w:r>
              <w:t xml:space="preserve">$50.69</w:t>
            </w:r>
          </w:p>
        </w:tc>
        <w:tc>
          <w:tcPr/>
          <w:p>
            <w:pPr>
              <w:pStyle w:val="Compact"/>
            </w:pPr>
            <w:r>
              <w:t xml:space="preserve">People Inc. bid revealed; stock spikes</w:t>
            </w:r>
          </w:p>
        </w:tc>
      </w:tr>
      <w:tr>
        <w:tc>
          <w:tcPr/>
          <w:p>
            <w:pPr>
              <w:pStyle w:val="Compact"/>
            </w:pPr>
            <w:r>
              <w:t xml:space="preserve">Jul 27, 2026</w:t>
            </w:r>
          </w:p>
        </w:tc>
        <w:tc>
          <w:tcPr/>
          <w:p>
            <w:pPr>
              <w:pStyle w:val="Compact"/>
            </w:pPr>
            <w:r>
              <w:t xml:space="preserve">$46.31</w:t>
            </w:r>
          </w:p>
        </w:tc>
        <w:tc>
          <w:tcPr/>
          <w:p>
            <w:pPr>
              <w:pStyle w:val="Compact"/>
            </w:pPr>
            <w:r>
              <w:t xml:space="preserve">Trading ~4% below the $48.30 offer</w:t>
            </w:r>
          </w:p>
        </w:tc>
      </w:tr>
    </w:tbl>
    <w:p>
      <w:pPr>
        <w:pStyle w:val="BodyText"/>
      </w:pPr>
      <w:r>
        <w:t xml:space="preserve">MGM shares have gained ~31% this year and ~26% over the past 12 months, but had largely traded sideways for the prior five years, underperforming the market, and remain well below their 2007 record. The implication: a clean quarter is unlikely to move the stock much on its own — the deal spread dominates — but a weak quarter could embolden the argument that $48.30 is "good enough," while a strong one supports the bulls pushing for $50–55+.</w:t>
      </w:r>
    </w:p>
    <w:p>
      <w:r>
        <w:pict>
          <v:rect style="width:0;height:1.5pt" o:hralign="center" o:hrstd="t" o:hr="t"/>
        </w:pict>
      </w:r>
    </w:p>
    <w:bookmarkEnd w:id="11"/>
    <w:bookmarkStart w:id="16" w:name="X986f7e98c76cf5e08b36a1e520dedf2a788d0ba"/>
    <w:p>
      <w:pPr>
        <w:pStyle w:val="Heading2"/>
      </w:pPr>
      <w:r>
        <w:t xml:space="preserve">Operating backdrop: what the fundamentals need to show</w:t>
      </w:r>
    </w:p>
    <w:p>
      <w:pPr>
        <w:pStyle w:val="FirstParagraph"/>
      </w:pPr>
      <w:r>
        <w:t xml:space="preserve">Recall where the company stood at Q1 2026 (reported April 29): consolidated net revenues of $4.5 billion (+4% YoY), net income attributable to MGM of $125 million, Consolidated Adjusted EBITDA of $580 million (down from $637 million a year earlier), and Adjusted EPS of $0.49 vs. $0.69. The EBITDA decline was largely self-inflicted/one-time in nature. Segment detail to build your Q2 model against:</w:t>
      </w:r>
    </w:p>
    <w:bookmarkStart w:id="12" w:name="Xbe384218390e43a403c99fbd29ed376ff4516a4"/>
    <w:p>
      <w:pPr>
        <w:pStyle w:val="Heading3"/>
      </w:pPr>
      <w:r>
        <w:t xml:space="preserve">1) Las Vegas Strip — the swing factor, with easier comps</w:t>
      </w:r>
    </w:p>
    <w:p>
      <w:pPr>
        <w:pStyle w:val="FirstParagraph"/>
      </w:pPr>
      <w:r>
        <w:t xml:space="preserve">Q1 was an inflection: Las Vegas net revenues of $2.2 billion rose slightly and grew year-over-year for the first time since 3Q24, though Segment Adjusted EBITDAR of $749 million fell 8% from</w:t>
      </w:r>
      <w:r>
        <w:t xml:space="preserve"> </w:t>
      </w:r>
      <m:oMath>
        <m:r>
          <m:t>811</m:t>
        </m:r>
        <m:r>
          <m:t>m</m:t>
        </m:r>
        <m:r>
          <m:t>i</m:t>
        </m:r>
        <m:r>
          <m:t>l</m:t>
        </m:r>
        <m:r>
          <m:t>l</m:t>
        </m:r>
        <m:r>
          <m:t>i</m:t>
        </m:r>
        <m:r>
          <m:t>o</m:t>
        </m:r>
        <m:r>
          <m:t>n</m:t>
        </m:r>
        <m:r>
          <m:rPr>
            <m:sty m:val="p"/>
          </m:rPr>
          <m:t>.</m:t>
        </m:r>
        <m:r>
          <m:t>M</m:t>
        </m:r>
        <m:r>
          <m:t>a</m:t>
        </m:r>
        <m:r>
          <m:t>n</m:t>
        </m:r>
        <m:r>
          <m:t>a</m:t>
        </m:r>
        <m:r>
          <m:t>g</m:t>
        </m:r>
        <m:r>
          <m:t>e</m:t>
        </m:r>
        <m:r>
          <m:t>m</m:t>
        </m:r>
        <m:r>
          <m:t>e</m:t>
        </m:r>
        <m:r>
          <m:t>n</m:t>
        </m:r>
        <m:r>
          <m:t>t</m:t>
        </m:r>
        <m:r>
          <m:t>w</m:t>
        </m:r>
        <m:r>
          <m:t>a</m:t>
        </m:r>
        <m:r>
          <m:t>s</m:t>
        </m:r>
        <m:r>
          <m:t>e</m:t>
        </m:r>
        <m:r>
          <m:t>x</m:t>
        </m:r>
        <m:r>
          <m:t>p</m:t>
        </m:r>
        <m:r>
          <m:t>l</m:t>
        </m:r>
        <m:r>
          <m:t>i</m:t>
        </m:r>
        <m:r>
          <m:t>c</m:t>
        </m:r>
        <m:r>
          <m:t>i</m:t>
        </m:r>
        <m:r>
          <m:t>t</m:t>
        </m:r>
        <m:r>
          <m:t>t</m:t>
        </m:r>
        <m:r>
          <m:t>h</m:t>
        </m:r>
        <m:r>
          <m:t>a</m:t>
        </m:r>
        <m:r>
          <m:t>t</m:t>
        </m:r>
        <m:r>
          <m:t>t</m:t>
        </m:r>
        <m:r>
          <m:t>h</m:t>
        </m:r>
        <m:r>
          <m:t>e</m:t>
        </m:r>
        <m:r>
          <m:t>E</m:t>
        </m:r>
        <m:r>
          <m:t>B</m:t>
        </m:r>
        <m:r>
          <m:t>I</m:t>
        </m:r>
        <m:r>
          <m:t>T</m:t>
        </m:r>
        <m:r>
          <m:t>D</m:t>
        </m:r>
        <m:r>
          <m:t>A</m:t>
        </m:r>
        <m:r>
          <m:t>d</m:t>
        </m:r>
        <m:r>
          <m:t>r</m:t>
        </m:r>
        <m:r>
          <m:t>o</m:t>
        </m:r>
        <m:r>
          <m:t>p</m:t>
        </m:r>
        <m:r>
          <m:t>w</m:t>
        </m:r>
        <m:r>
          <m:t>a</m:t>
        </m:r>
        <m:r>
          <m:t>s</m:t>
        </m:r>
        <m:r>
          <m:t>t</m:t>
        </m:r>
        <m:r>
          <m:t>w</m:t>
        </m:r>
        <m:r>
          <m:t>o</m:t>
        </m:r>
        <m:r>
          <m:t>i</m:t>
        </m:r>
        <m:r>
          <m:t>t</m:t>
        </m:r>
        <m:r>
          <m:t>e</m:t>
        </m:r>
        <m:r>
          <m:t>m</m:t>
        </m:r>
        <m:r>
          <m:t>s</m:t>
        </m:r>
        <m:r>
          <m:rPr>
            <m:sty m:val="p"/>
          </m:rPr>
          <m:t>—</m:t>
        </m:r>
        <m:r>
          <m:t>a</m:t>
        </m:r>
        <m:r>
          <m:t> </m:t>
        </m:r>
      </m:oMath>
      <w:r>
        <w:t xml:space="preserve">37 million self-insurance true-up and a ~$31 million decline in business-interruption proceeds — not underlying demand erosion.</w:t>
      </w:r>
    </w:p>
    <w:p>
      <w:pPr>
        <w:pStyle w:val="BodyText"/>
      </w:pPr>
      <w:r>
        <w:t xml:space="preserve">For Q2 specifically, management flagged several tailwinds that should be scored on the print:</w:t>
      </w:r>
    </w:p>
    <w:p>
      <w:pPr>
        <w:pStyle w:val="Compact"/>
        <w:numPr>
          <w:ilvl w:val="0"/>
          <w:numId w:val="1002"/>
        </w:numPr>
      </w:pPr>
      <w:r>
        <w:rPr>
          <w:b/>
          <w:bCs/>
        </w:rPr>
        <w:t xml:space="preserve">Convention strength:</w:t>
      </w:r>
      <w:r>
        <w:t xml:space="preserve"> </w:t>
      </w:r>
      <w:r>
        <w:t xml:space="preserve">management guided to Q2 convention room-night mix up ~2 points YoY to ~20%, with marquee tech groups (Google, Cisco) on the books.</w:t>
      </w:r>
    </w:p>
    <w:p>
      <w:pPr>
        <w:pStyle w:val="Compact"/>
        <w:numPr>
          <w:ilvl w:val="0"/>
          <w:numId w:val="1002"/>
        </w:numPr>
      </w:pPr>
      <w:r>
        <w:rPr>
          <w:b/>
          <w:bCs/>
        </w:rPr>
        <w:t xml:space="preserve">MGM Grand rooms back online:</w:t>
      </w:r>
      <w:r>
        <w:t xml:space="preserve"> </w:t>
      </w:r>
      <w:r>
        <w:t xml:space="preserve">~54,000 incremental room nights vs. a year ago when the renovation was a drag.</w:t>
      </w:r>
    </w:p>
    <w:p>
      <w:pPr>
        <w:pStyle w:val="Compact"/>
        <w:numPr>
          <w:ilvl w:val="0"/>
          <w:numId w:val="1002"/>
        </w:numPr>
      </w:pPr>
      <w:r>
        <w:rPr>
          <w:b/>
          <w:bCs/>
        </w:rPr>
        <w:t xml:space="preserve">Easier leisure comps</w:t>
      </w:r>
      <w:r>
        <w:t xml:space="preserve"> </w:t>
      </w:r>
      <w:r>
        <w:t xml:space="preserve">and the new all-inclusive program at Luxor/Excalibur, which management said is drawing ~one-third first-time Vegas visitors.</w:t>
      </w:r>
    </w:p>
    <w:p>
      <w:pPr>
        <w:pStyle w:val="Compact"/>
        <w:numPr>
          <w:ilvl w:val="0"/>
          <w:numId w:val="1002"/>
        </w:numPr>
      </w:pPr>
      <w:r>
        <w:rPr>
          <w:b/>
          <w:bCs/>
        </w:rPr>
        <w:t xml:space="preserve">Watch the low end / midweek:</w:t>
      </w:r>
      <w:r>
        <w:t xml:space="preserve"> </w:t>
      </w:r>
      <w:r>
        <w:t xml:space="preserve">management repeatedly flagged softness at the value properties (Luxor, Excalibur, ~6% of EBITDA) and weak international/Canadian visitation (Canadian business down 30–40%).</w:t>
      </w:r>
    </w:p>
    <w:p>
      <w:pPr>
        <w:pStyle w:val="FirstParagraph"/>
      </w:pPr>
      <w:r>
        <w:t xml:space="preserve">Encouragingly, the Nevada macro is turning: April Strip gross gaming revenue was up 7% even as visitation remained down 2% year over year. Truist noted total casino win ex-baccarat — a mass-market health gauge — was up 5%, suggesting it's not just high-rollers returning. The key question analysts have asked directly:</w:t>
      </w:r>
      <w:r>
        <w:t xml:space="preserve"> </w:t>
      </w:r>
      <w:r>
        <w:rPr>
          <w:b/>
          <w:bCs/>
        </w:rPr>
        <w:t xml:space="preserve">can Las Vegas grow EBITDA in 2026?</w:t>
      </w:r>
      <w:r>
        <w:t xml:space="preserve"> </w:t>
      </w:r>
      <w:r>
        <w:t xml:space="preserve">Management said yes, but "tempered modestly." Q2 is the first real test given the room and comp tailwinds.</w:t>
      </w:r>
    </w:p>
    <w:bookmarkEnd w:id="12"/>
    <w:bookmarkStart w:id="13" w:name="X5986d5b4f54e19cdfef3a6234646d0f86ecf3e8"/>
    <w:p>
      <w:pPr>
        <w:pStyle w:val="Heading3"/>
      </w:pPr>
      <w:r>
        <w:t xml:space="preserve">2) Regional Operations — steady, minus Northfield</w:t>
      </w:r>
    </w:p>
    <w:p>
      <w:pPr>
        <w:pStyle w:val="FirstParagraph"/>
      </w:pPr>
      <w:r>
        <w:t xml:space="preserve">Q1 regionals grew revenue 2% to $918 million with EBITDAR of $259 million (down 7% on the same self-insurance/BI items). Two modeling notes: MGM closed the sale of MGM Northfield Park operations for $546 million in April 2026, so it drops out of the segment going forward (management will provide same-store comparisons). Expect resilient-but-flattish underlying trends.</w:t>
      </w:r>
    </w:p>
    <w:bookmarkEnd w:id="13"/>
    <w:bookmarkStart w:id="14" w:name="Xe970486cc7522bc0a544fa34903cafca6f17bb6"/>
    <w:p>
      <w:pPr>
        <w:pStyle w:val="Heading3"/>
      </w:pPr>
      <w:r>
        <w:t xml:space="preserve">3) MGM China — solid volumes, optics distorted by the new brand fee</w:t>
      </w:r>
    </w:p>
    <w:p>
      <w:pPr>
        <w:pStyle w:val="FirstParagraph"/>
      </w:pPr>
      <w:r>
        <w:t xml:space="preserve">Q1 China revenue rose 9% to $1.1 billion, but EBITDAR fell 4% to $273 million purely because of the new intercompany branding fee. Key context for anyone comparing YoY margins: the brand fee stepped up from 1.75% to 3.5% of revenue starting this year, which pressures reported segment EBITDAR but raises cash flow to the parent. Management framed property-level margins as sustainable in the mid-to-high 20s pre-fee. Watch Q2 market share (Q1 exited March at ~17.3% vs. a 15.4% quarterly average) and the read on Macau mass-market demand.</w:t>
      </w:r>
    </w:p>
    <w:bookmarkEnd w:id="14"/>
    <w:bookmarkStart w:id="15" w:name="Xfc9dfd8359b5f9b2d8a0e5462d08d0a416cbe6f"/>
    <w:p>
      <w:pPr>
        <w:pStyle w:val="Heading3"/>
      </w:pPr>
      <w:r>
        <w:t xml:space="preserve">4) Digital: BetMGM + MGM Digital — the growth/optionality piece Diller loves</w:t>
      </w:r>
    </w:p>
    <w:p>
      <w:pPr>
        <w:pStyle w:val="FirstParagraph"/>
      </w:pPr>
      <w:r>
        <w:t xml:space="preserve">Two distinct businesses:</w:t>
      </w:r>
    </w:p>
    <w:p>
      <w:pPr>
        <w:pStyle w:val="Compact"/>
        <w:numPr>
          <w:ilvl w:val="0"/>
          <w:numId w:val="1003"/>
        </w:numPr>
      </w:pPr>
      <w:r>
        <w:rPr>
          <w:b/>
          <w:bCs/>
        </w:rPr>
        <w:t xml:space="preserve">BetMGM (50/50 JV, equity method):</w:t>
      </w:r>
      <w:r>
        <w:t xml:space="preserve"> </w:t>
      </w:r>
      <w:r>
        <w:t xml:space="preserve">After a turnaround, the BetMGM North America Venture posted year-over-year growth in both net revenue and Adjusted EBITDA in Q1, and MGM's share of BetMGM income swung to +$7.4 million from a</w:t>
      </w:r>
      <w:r>
        <w:t xml:space="preserve"> </w:t>
      </w:r>
      <m:oMath>
        <m:r>
          <m:t>15.2</m:t>
        </m:r>
        <m:r>
          <m:t>m</m:t>
        </m:r>
        <m:r>
          <m:t>i</m:t>
        </m:r>
        <m:r>
          <m:t>l</m:t>
        </m:r>
        <m:r>
          <m:t>l</m:t>
        </m:r>
        <m:r>
          <m:t>i</m:t>
        </m:r>
        <m:r>
          <m:t>o</m:t>
        </m:r>
        <m:r>
          <m:t>n</m:t>
        </m:r>
        <m:r>
          <m:t>l</m:t>
        </m:r>
        <m:r>
          <m:t>o</m:t>
        </m:r>
        <m:r>
          <m:t>s</m:t>
        </m:r>
        <m:r>
          <m:t>s</m:t>
        </m:r>
        <m:r>
          <m:t>a</m:t>
        </m:r>
        <m:r>
          <m:t>y</m:t>
        </m:r>
        <m:r>
          <m:t>e</m:t>
        </m:r>
        <m:r>
          <m:t>a</m:t>
        </m:r>
        <m:r>
          <m:t>r</m:t>
        </m:r>
        <m:r>
          <m:t>e</m:t>
        </m:r>
        <m:r>
          <m:t>a</m:t>
        </m:r>
        <m:r>
          <m:t>r</m:t>
        </m:r>
        <m:r>
          <m:t>l</m:t>
        </m:r>
        <m:r>
          <m:t>i</m:t>
        </m:r>
        <m:r>
          <m:t>e</m:t>
        </m:r>
        <m:r>
          <m:t>r</m:t>
        </m:r>
        <m:r>
          <m:rPr>
            <m:sty m:val="p"/>
          </m:rPr>
          <m:t>.</m:t>
        </m:r>
        <m:r>
          <m:t>T</m:t>
        </m:r>
        <m:r>
          <m:t>h</m:t>
        </m:r>
        <m:r>
          <m:t>e</m:t>
        </m:r>
        <m:r>
          <m:t>s</m:t>
        </m:r>
        <m:r>
          <m:t>t</m:t>
        </m:r>
        <m:r>
          <m:t>r</m:t>
        </m:r>
        <m:r>
          <m:t>a</m:t>
        </m:r>
        <m:r>
          <m:t>t</m:t>
        </m:r>
        <m:r>
          <m:t>e</m:t>
        </m:r>
        <m:r>
          <m:t>g</m:t>
        </m:r>
        <m:r>
          <m:t>y</m:t>
        </m:r>
        <m:r>
          <m:t>i</m:t>
        </m:r>
        <m:r>
          <m:t>s</m:t>
        </m:r>
        <m:r>
          <m:t>i</m:t>
        </m:r>
        <m:r>
          <m:t>G</m:t>
        </m:r>
        <m:r>
          <m:t>a</m:t>
        </m:r>
        <m:r>
          <m:t>m</m:t>
        </m:r>
        <m:r>
          <m:t>i</m:t>
        </m:r>
        <m:r>
          <m:t>n</m:t>
        </m:r>
        <m:r>
          <m:t>g</m:t>
        </m:r>
        <m:r>
          <m:rPr>
            <m:sty m:val="p"/>
          </m:rPr>
          <m:t>−</m:t>
        </m:r>
        <m:r>
          <m:t>l</m:t>
        </m:r>
        <m:r>
          <m:t>e</m:t>
        </m:r>
        <m:r>
          <m:t>d</m:t>
        </m:r>
        <m:r>
          <m:rPr>
            <m:sty m:val="p"/>
          </m:rPr>
          <m:t>(</m:t>
        </m:r>
        <m:r>
          <m:t>a</m:t>
        </m:r>
        <m:r>
          <m:t>p</m:t>
        </m:r>
        <m:r>
          <m:t>p</m:t>
        </m:r>
        <m:r>
          <m:t>r</m:t>
        </m:r>
        <m:r>
          <m:t>o</m:t>
        </m:r>
        <m:r>
          <m:t>a</m:t>
        </m:r>
        <m:r>
          <m:t>c</m:t>
        </m:r>
        <m:r>
          <m:t>h</m:t>
        </m:r>
        <m:r>
          <m:t>i</m:t>
        </m:r>
        <m:r>
          <m:t>n</m:t>
        </m:r>
        <m:r>
          <m:t>g</m:t>
        </m:r>
        <m:r>
          <m:t> </m:t>
        </m:r>
      </m:oMath>
      <w:r>
        <w:t xml:space="preserve">2 billion annual revenue) with disciplined sports spend.</w:t>
      </w:r>
      <w:r>
        <w:t xml:space="preserve"> </w:t>
      </w:r>
      <w:r>
        <w:rPr>
          <w:b/>
          <w:bCs/>
        </w:rPr>
        <w:t xml:space="preserve">The near-term wildcard is the World Cup</w:t>
      </w:r>
      <w:r>
        <w:t xml:space="preserve">: BetMGM's CEO reported the FIFA World Cup was the most-bet tournament in company history, with overall volume tripling versus 2022, and one U.S.–Belgium match even surpassing NBA and NHL finals betting activity. Expect this to feature prominently — though watch whether the volume translated to margin or was competed away in promos.</w:t>
      </w:r>
    </w:p>
    <w:p>
      <w:pPr>
        <w:pStyle w:val="Compact"/>
        <w:numPr>
          <w:ilvl w:val="0"/>
          <w:numId w:val="1003"/>
        </w:numPr>
      </w:pPr>
      <w:r>
        <w:rPr>
          <w:b/>
          <w:bCs/>
        </w:rPr>
        <w:t xml:space="preserve">MGM Digital (LeoVegas, consolidated):</w:t>
      </w:r>
      <w:r>
        <w:t xml:space="preserve"> </w:t>
      </w:r>
      <w:r>
        <w:t xml:space="preserve">Q1 revenue jumped 43% to $183 million with a narrowing EBITDA loss of $26 million. Management targets a materially smaller loss in 2026 and near-breakeven in 2027, but flagged possible</w:t>
      </w:r>
      <w:r>
        <w:t xml:space="preserve"> </w:t>
      </w:r>
      <w:r>
        <w:rPr>
          <w:i/>
          <w:iCs/>
        </w:rPr>
        <w:t xml:space="preserve">incremental</w:t>
      </w:r>
      <w:r>
        <w:t xml:space="preserve"> </w:t>
      </w:r>
      <w:r>
        <w:t xml:space="preserve">investment in Brazil (regulatory/tax and competitive intensity). Watch the loss trajectory and any change to that breakeven timeline.</w:t>
      </w:r>
    </w:p>
    <w:p>
      <w:r>
        <w:pict>
          <v:rect style="width:0;height:1.5pt" o:hralign="center" o:hrstd="t" o:hr="t"/>
        </w:pict>
      </w:r>
    </w:p>
    <w:bookmarkEnd w:id="15"/>
    <w:bookmarkEnd w:id="16"/>
    <w:bookmarkStart w:id="17" w:name="capital-return--balance-sheet"/>
    <w:p>
      <w:pPr>
        <w:pStyle w:val="Heading2"/>
      </w:pPr>
      <w:r>
        <w:t xml:space="preserve">Capital return &amp; balance sheet</w:t>
      </w:r>
    </w:p>
    <w:p>
      <w:pPr>
        <w:pStyle w:val="FirstParagraph"/>
      </w:pPr>
      <w:r>
        <w:t xml:space="preserve">This is where the deal process collides with MGM's playbook. The company has shrunk its share count aggressively — buying back ~2 million shares for</w:t>
      </w:r>
      <w:r>
        <w:t xml:space="preserve"> </w:t>
      </w:r>
      <m:oMath>
        <m:r>
          <m:t>90</m:t>
        </m:r>
        <m:r>
          <m:t>m</m:t>
        </m:r>
        <m:r>
          <m:t>i</m:t>
        </m:r>
        <m:r>
          <m:t>l</m:t>
        </m:r>
        <m:r>
          <m:t>l</m:t>
        </m:r>
        <m:r>
          <m:t>i</m:t>
        </m:r>
        <m:r>
          <m:t>o</m:t>
        </m:r>
        <m:r>
          <m:t>n</m:t>
        </m:r>
        <m:r>
          <m:t>i</m:t>
        </m:r>
        <m:r>
          <m:t>n</m:t>
        </m:r>
        <m:r>
          <m:t>Q</m:t>
        </m:r>
        <m:r>
          <m:t>1</m:t>
        </m:r>
        <m:r>
          <m:t>w</m:t>
        </m:r>
        <m:r>
          <m:t>i</m:t>
        </m:r>
        <m:r>
          <m:t>t</m:t>
        </m:r>
        <m:r>
          <m:t>h</m:t>
        </m:r>
        <m:r>
          <m:t> </m:t>
        </m:r>
      </m:oMath>
      <w:r>
        <w:t xml:space="preserve">1.5 billion still authorized, on top of a ~48% share-count reduction since early 2021. CFO Halkyard framed the Northfield sale (6.6x trailing EBITDA) and prior asset sales (Mirage, Gold Strike) as evidence the public market undervalues the enterprise, and said proceeds give "increased flexibility" to re-accelerate repurchases.</w:t>
      </w:r>
      <w:r>
        <w:t xml:space="preserve"> </w:t>
      </w:r>
      <w:r>
        <w:rPr>
          <w:b/>
          <w:bCs/>
        </w:rPr>
        <w:t xml:space="preserve">Question for the call:</w:t>
      </w:r>
      <w:r>
        <w:t xml:space="preserve"> </w:t>
      </w:r>
      <w:r>
        <w:t xml:space="preserve">does an active take-private process at $48.30 change the repurchase cadence? Continued heavy buybacks would signal the board thinks the stock is worth more than the bid.</w:t>
      </w:r>
    </w:p>
    <w:p>
      <w:pPr>
        <w:pStyle w:val="BodyText"/>
      </w:pPr>
      <w:r>
        <w:t xml:space="preserve">Balance sheet at Q1: ~</w:t>
      </w:r>
      <m:oMath>
        <m:r>
          <m:t>2.3</m:t>
        </m:r>
        <m:r>
          <m:t>b</m:t>
        </m:r>
        <m:r>
          <m:t>i</m:t>
        </m:r>
        <m:r>
          <m:t>l</m:t>
        </m:r>
        <m:r>
          <m:t>l</m:t>
        </m:r>
        <m:r>
          <m:t>i</m:t>
        </m:r>
        <m:r>
          <m:t>o</m:t>
        </m:r>
        <m:r>
          <m:t>n</m:t>
        </m:r>
        <m:r>
          <m:t>c</m:t>
        </m:r>
        <m:r>
          <m:t>a</m:t>
        </m:r>
        <m:r>
          <m:t>s</m:t>
        </m:r>
        <m:r>
          <m:t>h</m:t>
        </m:r>
        <m:r>
          <m:rPr>
            <m:sty m:val="p"/>
          </m:rPr>
          <m:t>,</m:t>
        </m:r>
        <m:r>
          <m:t> </m:t>
        </m:r>
      </m:oMath>
      <w:r>
        <w:t xml:space="preserve">6.4 billion long-term debt, plus the large operating-lease obligations tied to the OpCo/PropCo structure.</w:t>
      </w:r>
    </w:p>
    <w:p>
      <w:r>
        <w:pict>
          <v:rect style="width:0;height:1.5pt" o:hralign="center" o:hrstd="t" o:hr="t"/>
        </w:pict>
      </w:r>
    </w:p>
    <w:bookmarkEnd w:id="17"/>
    <w:bookmarkStart w:id="18" w:name="Xb3f33af664234711c750b304f6369178f6fb6d3"/>
    <w:p>
      <w:pPr>
        <w:pStyle w:val="Heading2"/>
      </w:pPr>
      <w:r>
        <w:t xml:space="preserve">Bottom line — what would make this a "good" vs. "bad" print</w:t>
      </w:r>
    </w:p>
    <w:p>
      <w:pPr>
        <w:pStyle w:val="FirstParagraph"/>
      </w:pPr>
      <w:r>
        <w:rPr>
          <w:b/>
          <w:bCs/>
        </w:rPr>
        <w:t xml:space="preserve">Bullish tells:</w:t>
      </w:r>
      <w:r>
        <w:t xml:space="preserve"> </w:t>
      </w:r>
      <w:r>
        <w:t xml:space="preserve">Las Vegas EBITDAR growth (clean of the self-insurance noise) confirming the demand inflection; convention mix delivering; China share holding ~17%; BetMGM profitability building on World Cup volume; continued/accelerated buybacks; and any board signal that $48.30 undervalues the company.</w:t>
      </w:r>
    </w:p>
    <w:p>
      <w:pPr>
        <w:pStyle w:val="BodyText"/>
      </w:pPr>
      <w:r>
        <w:rPr>
          <w:b/>
          <w:bCs/>
        </w:rPr>
        <w:t xml:space="preserve">Bearish tells:</w:t>
      </w:r>
      <w:r>
        <w:t xml:space="preserve"> </w:t>
      </w:r>
      <w:r>
        <w:t xml:space="preserve">persistent low-end/midweek and international (Canada) softness; another self-insurance or litigation charge (management flagged rising frivolous-litigation costs as an industry headwind); wider Brazil losses; hold-driven volatility; or a board that appears inclined to accept the bid at current terms.</w:t>
      </w:r>
    </w:p>
    <w:p>
      <w:pPr>
        <w:pStyle w:val="BodyText"/>
      </w:pPr>
      <w:r>
        <w:rPr>
          <w:b/>
          <w:bCs/>
        </w:rPr>
        <w:t xml:space="preserve">Net:</w:t>
      </w:r>
      <w:r>
        <w:t xml:space="preserve"> </w:t>
      </w:r>
      <w:r>
        <w:t xml:space="preserve">Fundamentals matter mostly as ammunition in the valuation debate now open around the People Inc. bid. With the stock trading ~$2 below the offer, the risk/reward is asymmetric around deal headlines: the most price-sensitive disclosures tomorrow will likely be about the</w:t>
      </w:r>
      <w:r>
        <w:t xml:space="preserve"> </w:t>
      </w:r>
      <w:r>
        <w:rPr>
          <w:b/>
          <w:bCs/>
        </w:rPr>
        <w:t xml:space="preserve">special committee, the adequacy of $48.30, and the buyback stance</w:t>
      </w:r>
      <w:r>
        <w:t xml:space="preserve">, with the operating beat/miss a secondary input into whether $48.30 becomes a floor or a ceiling.</w:t>
      </w:r>
    </w:p>
    <w:p>
      <w:pPr>
        <w:pStyle w:val="BodyText"/>
      </w:pPr>
      <w:r>
        <w:rPr>
          <w:i/>
          <w:iCs/>
        </w:rPr>
        <w:t xml:space="preserve">Sources: MGM Q1 2026 and Q4/FY2025 earnings releases and Q1 2026 earnings call transcript; Barron's (June 1 and July 13, 2026); BetMGM management commentary (July 2026); daily market data. This preview is for informational purposes and is not investment advice.</w:t>
      </w:r>
    </w:p>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2026-07-28T01:03:00Z</dcterms:created>
  <dcterms:modified xsi:type="dcterms:W3CDTF">2026-07-28T01:03:00Z</dcterms:modified>
</cp:coreProperties>
</file>

<file path=docProps/custom.xml><?xml version="1.0" encoding="utf-8"?>
<Properties xmlns="http://schemas.openxmlformats.org/officeDocument/2006/custom-properties" xmlns:vt="http://schemas.openxmlformats.org/officeDocument/2006/docPropsVTypes"/>
</file>