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~$0.56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Strip Segment Adjusted EBITDAR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~$775M vs. cons $755M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MGM China Segment Adjusted EBITDAR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~$258M vs. cons $270M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Las Vegas Segment EBITDA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~+3% vs. cons +2%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MGM China reported Segment EBITDAR margin (post 3.5% brand fee)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~24% vs. cons 25%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 pace / capital return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~$150M Q3 buybacks vs. cons $100M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-2.2% (FOLLOW-THROUGH)</w:t>
            </w:r>
          </w:p>
        </w:tc>
        <w:tc>
          <w:tcPr/>
          <w:p>
            <w:pPr>
              <w:pStyle w:val="Compact"/>
            </w:pPr>
            <w:r>
              <w:t xml:space="preserve">A likely EPS miss (cost overrun in insurance/litigation and Macau brand-fee drag) plus China EBITDAR shortfall should trigger sell-side trims to FY26/FY27 China margin and Digital-loss assumptions even though Las Vegas EBITDAR beats on an easy comp; the implicit full-year math (brand fee now embedded all year, Brazil digital investment 'beyond original guidance') pulls out-quarter consensus down, extending the initial negative drift over the week. However, the $48.30 Diller offer sitting ~4% above the stock caps downside and the special-committee process keeps trading more M&amp;A-driven than fundamentals-driven, so the follow-through is muted rather than sharp.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2026-07-28T01:04:51Z</dcterms:created>
  <dcterms:modified xsi:type="dcterms:W3CDTF">2026-07-28T01:04:51Z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