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3cee4ee179b687604b08c5815ccd742f4e441a6"/>
    <w:p>
      <w:pPr>
        <w:pStyle w:val="Heading1"/>
      </w:pPr>
      <w:r>
        <w:t xml:space="preserve">MGM Resorts International (NYSE: MGM)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Results expected tomorrow, July 28, 2026 (2026Q2 Business Update), with a conference call to follow. Company guidance points to an after-market release on July 29 with a 5:00 p.m. ET call — investors should confirm timing, but the print is imminent either way.</w:t>
      </w:r>
    </w:p>
    <w:bookmarkStart w:id="9" w:name="X3060f4960c163408486c3bbbfcb1a68c96b2b1b"/>
    <w:p>
      <w:pPr>
        <w:pStyle w:val="Heading2"/>
      </w:pPr>
      <w:r>
        <w:t xml:space="preserve">The Elephant in the Room: The Diller/People Inc. Takeover Bid</w:t>
      </w:r>
    </w:p>
    <w:p>
      <w:pPr>
        <w:pStyle w:val="FirstParagraph"/>
      </w:pPr>
      <w:r>
        <w:t xml:space="preserve">This is arguably the single most important context for the print. On June 1, 2026,</w:t>
      </w:r>
      <w:r>
        <w:t xml:space="preserve"> </w:t>
      </w:r>
      <w:r>
        <w:rPr>
          <w:b/>
          <w:bCs/>
        </w:rPr>
        <w:t xml:space="preserve">Barry Diller's People Inc. (formerly IAC), which already owns roughly 26% of MGM and on whose board Diller sits, made an unsolicited all-cash offer of</w:t>
      </w:r>
      <w:r>
        <w:rPr>
          <w:b/>
          <w:bCs/>
        </w:rPr>
        <w:t xml:space="preserve"> </w:t>
      </w:r>
      <m:oMath>
        <m:r>
          <m:t>48.30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(</m:t>
        </m:r>
        <m:r>
          <m:t> </m:t>
        </m:r>
      </m:oMath>
      <w:r>
        <w:rPr>
          <w:b/>
          <w:bCs/>
        </w:rPr>
        <w:t xml:space="preserve">18 billion) to acquire the rest of the company it doesn't already own.</w:t>
      </w:r>
      <w:r>
        <w:t xml:space="preserve"> </w:t>
      </w:r>
      <w:r>
        <w:t xml:space="preserve">MGM's board subsequently</w:t>
      </w:r>
      <w:r>
        <w:t xml:space="preserve"> </w:t>
      </w:r>
      <w:r>
        <w:rPr>
          <w:b/>
          <w:bCs/>
        </w:rPr>
        <w:t xml:space="preserve">formed a special committee with independent advisors</w:t>
      </w:r>
      <w:r>
        <w:t xml:space="preserve"> </w:t>
      </w:r>
      <w:r>
        <w:t xml:space="preserve">to evaluate the proposal, which the company reportedly believes undervalues its assets. Shareholder law firms have since opened investigations into potential board fiduciary-duty conflicts given Diller's dual role as bidder and director, and Nevada gaming regulators are reportedly reviewing the deal's implications.</w:t>
      </w:r>
    </w:p>
    <w:p>
      <w:pPr>
        <w:pStyle w:val="BodyText"/>
      </w:pPr>
      <w:r>
        <w:t xml:space="preserve">Context that matters for valuation: Morgan Stanley's Stephen Grambling calculated the</w:t>
      </w:r>
      <w:r>
        <w:t xml:space="preserve"> </w:t>
      </w:r>
      <w:r>
        <w:rPr>
          <w:b/>
          <w:bCs/>
        </w:rPr>
        <w:t xml:space="preserve">$48.30 offer equates to roughly 7.7x 2026 consensus EV/EBITDAR</w:t>
      </w:r>
      <w:r>
        <w:t xml:space="preserve"> </w:t>
      </w:r>
      <w:r>
        <w:t xml:space="preserve">(adjusted for MGM's Macau minority interest), which he compared to</w:t>
      </w:r>
      <w:r>
        <w:t xml:space="preserve"> </w:t>
      </w:r>
      <w:r>
        <w:rPr>
          <w:b/>
          <w:bCs/>
        </w:rPr>
        <w:t xml:space="preserve">Caesars' agreed take-private by Tilman Fertitta at ~7.5x</w:t>
      </w:r>
      <w:r>
        <w:t xml:space="preserve"> </w:t>
      </w:r>
      <w:r>
        <w:t xml:space="preserve">— a deal announced in late May 2026 valuing Caesars at</w:t>
      </w:r>
      <w:r>
        <w:t xml:space="preserve"> </w:t>
      </w:r>
      <m:oMath>
        <m:r>
          <m:t>17.6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(</m:t>
        </m:r>
      </m:oMath>
      <w:r>
        <w:t xml:space="preserve">31/share cash plus assumed debt). That Caesars deal is itself notable read-through: it validates take-private appetite for Strip/regional casino portfolios at similar multiples to what Diller is offering.</w:t>
      </w:r>
    </w:p>
    <w:p>
      <w:pPr>
        <w:pStyle w:val="BodyText"/>
      </w:pPr>
      <w:r>
        <w:t xml:space="preserve">MGM shares currently trade around</w:t>
      </w:r>
      <w:r>
        <w:t xml:space="preserve"> </w:t>
      </w:r>
      <w:r>
        <w:rPr>
          <w:b/>
          <w:bCs/>
        </w:rPr>
        <w:t xml:space="preserve">$46</w:t>
      </w:r>
      <w:r>
        <w:t xml:space="preserve">, below the $48.30 offer — signaling the market is pricing in meaningful deal-completion risk (or hoping for a bump) rather than treating it as a done deal. Expect the Q2 call to draw heavy questions on: (1) special committee timeline/process, (2) whether the operating results support a "we're worth more than $48.30" narrative, and (3) any update on competing bids or a sweetened offer.</w:t>
      </w:r>
    </w:p>
    <w:bookmarkEnd w:id="9"/>
    <w:bookmarkStart w:id="10" w:name="q1-2026-recap--setting-the-baseline"/>
    <w:p>
      <w:pPr>
        <w:pStyle w:val="Heading2"/>
      </w:pPr>
      <w:r>
        <w:t xml:space="preserve">Q1 2026 Recap — Setting the Baseline</w:t>
      </w:r>
    </w:p>
    <w:p>
      <w:pPr>
        <w:pStyle w:val="FirstParagraph"/>
      </w:pPr>
      <w:r>
        <w:t xml:space="preserve">Q1 2026 (reported April 29) showed encouraging inflection points that should carry into Q2:</w:t>
      </w:r>
    </w:p>
    <w:p>
      <w:pPr>
        <w:pStyle w:val="Compact"/>
        <w:numPr>
          <w:ilvl w:val="0"/>
          <w:numId w:val="1001"/>
        </w:numPr>
      </w:pPr>
      <w:r>
        <w:t xml:space="preserve">Consolidated net revenues of $4.5 billion, an increase of 4% compared to the prior year quarter; Net income attributable to MGM Resorts was $125 million compared to $149 million; Consolidated Adjusted EBITDA of $580 million compared to $637 million in the prior-year quarter.</w:t>
      </w:r>
    </w:p>
    <w:p>
      <w:pPr>
        <w:pStyle w:val="Compact"/>
        <w:numPr>
          <w:ilvl w:val="0"/>
          <w:numId w:val="1001"/>
        </w:numPr>
      </w:pPr>
      <w:r>
        <w:t xml:space="preserve">Las Vegas Strip Resorts' quarterly net revenues increased year-over-year for the first time since 3Q24, though segment Adjusted EBITDAR decreased 8% to $749 million due to one-time items.</w:t>
      </w:r>
    </w:p>
    <w:p>
      <w:pPr>
        <w:pStyle w:val="Compact"/>
        <w:numPr>
          <w:ilvl w:val="0"/>
          <w:numId w:val="1001"/>
        </w:numPr>
      </w:pPr>
      <w:r>
        <w:t xml:space="preserve">MGM China net revenues grew 9% to $1.1 billion while Segment Adjusted EBITDAR fell 4% to $273 million, driven by a $23 million increase in intercompany branding license fee expense — the first quarter reflecting the new long-term branding agreement (fee rose from 1.75% to 3.5% of revenue).</w:t>
      </w:r>
    </w:p>
    <w:p>
      <w:pPr>
        <w:pStyle w:val="Compact"/>
        <w:numPr>
          <w:ilvl w:val="0"/>
          <w:numId w:val="1001"/>
        </w:numPr>
      </w:pPr>
      <w:r>
        <w:t xml:space="preserve">MGM Digital net revenues rose 43% to $183 million, with the Segment Adjusted EBITDAR loss narrowing to $26 million from $34 million.</w:t>
      </w:r>
    </w:p>
    <w:p>
      <w:pPr>
        <w:pStyle w:val="Compact"/>
        <w:numPr>
          <w:ilvl w:val="0"/>
          <w:numId w:val="1001"/>
        </w:numPr>
      </w:pPr>
      <w:r>
        <w:t xml:space="preserve">Management flagged two identifiable Q1 headwinds unlikely to repeat: a $37M self-insurance true-up charge in Las Vegas plus $9M in Regionals (described by CFO Jonathan Halkyard as tied to "the growing prevalence of frivolous litigation"), and lower business-interruption proceeds versus the prior year.</w:t>
      </w:r>
    </w:p>
    <w:p>
      <w:pPr>
        <w:pStyle w:val="Compact"/>
        <w:numPr>
          <w:ilvl w:val="0"/>
          <w:numId w:val="1001"/>
        </w:numPr>
      </w:pPr>
      <w:r>
        <w:t xml:space="preserve">MGM</w:t>
      </w:r>
      <w:r>
        <w:t xml:space="preserve"> </w:t>
      </w:r>
      <w:r>
        <w:rPr>
          <w:b/>
          <w:bCs/>
        </w:rPr>
        <w:t xml:space="preserve">closed the $546 million sale of Northfield Park</w:t>
      </w:r>
      <w:r>
        <w:t xml:space="preserve"> </w:t>
      </w:r>
      <w:r>
        <w:t xml:space="preserve">in April at what management called a 6.6x trailing EBITDA multiple — well above its own implied trading multiple — bolstering the "we're undervalued" argument relevant to the takeover debate.</w:t>
      </w:r>
    </w:p>
    <w:bookmarkEnd w:id="10"/>
    <w:bookmarkStart w:id="11" w:name="what-to-watch-in-q2-2026"/>
    <w:p>
      <w:pPr>
        <w:pStyle w:val="Heading2"/>
      </w:pPr>
      <w:r>
        <w:t xml:space="preserve">What to Watch in Q2 2026</w:t>
      </w:r>
    </w:p>
    <w:p>
      <w:pPr>
        <w:pStyle w:val="FirstParagraph"/>
      </w:pPr>
      <w:r>
        <w:rPr>
          <w:b/>
          <w:bCs/>
        </w:rPr>
        <w:t xml:space="preserve">1. Las Vegas — easier comps, but a bifurcated consumer.</w:t>
      </w:r>
      <w:r>
        <w:t xml:space="preserve"> </w:t>
      </w:r>
      <w:r>
        <w:t xml:space="preserve">Q2 2025 was a tough base: Las Vegas Strip net revenues fell 4% y/y in that quarter due to the MGM Grand room remodel and weaker hold, with Segment Adjusted EBITDAR down 9% to $710 million. With the Grand renovation now complete and back online for the full year, management guided on the Q1 call to expect</w:t>
      </w:r>
      <w:r>
        <w:t xml:space="preserve"> </w:t>
      </w:r>
      <w:r>
        <w:rPr>
          <w:b/>
          <w:bCs/>
        </w:rPr>
        <w:t xml:space="preserve">Las Vegas EBITDA growth for full-year 2026</w:t>
      </w:r>
      <w:r>
        <w:t xml:space="preserve">, while acknowledging continued midweek softness at value-tier properties (Luxor/Excalibur, ~6% of EBITDA) and a sharp decline in Canadian visitation (down 30-40%). Watch RevPAR trends, the reception to the new all-inclusive packages at Luxor/Excalibur (management cited strong early demand and roughly a third of bookings from first-time visitors), and convention/group mix, which was expected to rise ~2 points y/y to 20% of room-night mix.</w:t>
      </w:r>
    </w:p>
    <w:p>
      <w:pPr>
        <w:pStyle w:val="BodyText"/>
      </w:pPr>
      <w:r>
        <w:rPr>
          <w:b/>
          <w:bCs/>
        </w:rPr>
        <w:t xml:space="preserve">2. Regional Operations — tough comp.</w:t>
      </w:r>
      <w:r>
        <w:t xml:space="preserve"> </w:t>
      </w:r>
      <w:r>
        <w:t xml:space="preserve">Q2 2025 was a record quarter for this segment (net revenues +4% to $965 million, EBITDAR +7% to $309 million), so the y/y bar is elevated. Zacks consensus modeling points to continued modest growth in casino/rooms metrics.</w:t>
      </w:r>
    </w:p>
    <w:p>
      <w:pPr>
        <w:pStyle w:val="BodyText"/>
      </w:pPr>
      <w:r>
        <w:rPr>
          <w:b/>
          <w:bCs/>
        </w:rPr>
        <w:t xml:space="preserve">3. MGM China — watch margin under the new brand-fee structure.</w:t>
      </w:r>
      <w:r>
        <w:t xml:space="preserve"> </w:t>
      </w:r>
      <w:r>
        <w:t xml:space="preserve">Management guided that pre-brand-fee property margins should stay in the "mid- to high-20s," with the new 3.5% fee compressing reported segment margin into the "mid-20s" going forward — that's a structural change analysts will be modeling carefully. Macau market-wide GGR data for the quarter showed mixed trends: VIP baccarat GGR fell 2.6% y/y to MOP15.9 billion while mass-market (including slots) grew about 0.8%, and Las Vegas Sands (which already reported) flagged that low VIP hold and World Cup-related visitation softness distorted Q2 Macau results across the market — a read-through worth bearing in mind for MGM China's headline numbers.</w:t>
      </w:r>
    </w:p>
    <w:p>
      <w:pPr>
        <w:pStyle w:val="BodyText"/>
      </w:pPr>
      <w:r>
        <w:rPr>
          <w:b/>
          <w:bCs/>
        </w:rPr>
        <w:t xml:space="preserve">4. MGM Digital / BetMGM — World Cup wildcard.</w:t>
      </w:r>
      <w:r>
        <w:t xml:space="preserve"> </w:t>
      </w:r>
      <w:r>
        <w:t xml:space="preserve">BetMGM's sportsbook had a record-breaking FIFA World Cup, with volume tripling versus the 2022 tournament, which should support Q2/Q3 handle and revenue at both BetMGM (unconsolidated venture) and MGM Digital's international sportsbook operations. However, management also flagged incremental Brazil investment "beyond original guidance" given regulatory/tax changes and competitive intensity — watch for confirmation that MGM Digital's loss is still narrowing on a full-year basis, with Gary Fritz's target of "close to breakeven" in 2027 still intact.</w:t>
      </w:r>
    </w:p>
    <w:p>
      <w:pPr>
        <w:pStyle w:val="BodyText"/>
      </w:pPr>
      <w:r>
        <w:rPr>
          <w:b/>
          <w:bCs/>
        </w:rPr>
        <w:t xml:space="preserve">5. Capital returns and Japan.</w:t>
      </w:r>
      <w:r>
        <w:t xml:space="preserve"> </w:t>
      </w:r>
      <w:r>
        <w:t xml:space="preserve">MGM repurchased ~2.5 million shares for $90 million in Q1, with</w:t>
      </w:r>
      <w:r>
        <w:t xml:space="preserve"> </w:t>
      </w:r>
      <w:r>
        <w:t xml:space="preserve">$1.5 billion remaining under authorization; management explicitly flagged **"reaccelerating share repurchases at current valuation levels"** using Northfield proceeds — a data point activists and the special committee will scrutinize alongside the takeover bid. Japan (MGM Osaka, targeted for 2030 opening) remains on budget, with ~$</w:t>
      </w:r>
      <w:r>
        <w:t xml:space="preserve">200-225M of funding expected for 2026, largely pre-funded via a yen credit facility.</w:t>
      </w:r>
    </w:p>
    <w:bookmarkEnd w:id="11"/>
    <w:bookmarkStart w:id="12" w:name="consensus-expectations"/>
    <w:p>
      <w:pPr>
        <w:pStyle w:val="Heading2"/>
      </w:pPr>
      <w:r>
        <w:t xml:space="preserve">Consensus Expectations</w:t>
      </w:r>
    </w:p>
    <w:p>
      <w:pPr>
        <w:pStyle w:val="FirstParagraph"/>
      </w:pPr>
      <w:r>
        <w:t xml:space="preserve">Wall Street models a</w:t>
      </w:r>
      <w:r>
        <w:t xml:space="preserve"> </w:t>
      </w:r>
      <w:r>
        <w:rPr>
          <w:b/>
          <w:bCs/>
        </w:rPr>
        <w:t xml:space="preserve">year-over-year EPS decline despite revenue growth</w:t>
      </w:r>
      <w:r>
        <w:t xml:space="preserve"> </w:t>
      </w:r>
      <w:r>
        <w:t xml:space="preserve">— a function of tough prior-year comps (Q2 2025 Adjusted EPS was $0.79) and cost pressures (insurance, brand fee, digital investment):</w:t>
      </w:r>
    </w:p>
    <w:p>
      <w:pPr>
        <w:pStyle w:val="Compact"/>
        <w:numPr>
          <w:ilvl w:val="0"/>
          <w:numId w:val="1002"/>
        </w:numPr>
      </w:pPr>
      <w:r>
        <w:t xml:space="preserve">Consensus EPS around</w:t>
      </w:r>
      <w:r>
        <w:t xml:space="preserve"> </w:t>
      </w:r>
      <w:r>
        <w:rPr>
          <w:b/>
          <w:bCs/>
        </w:rPr>
        <w:t xml:space="preserve">$0.60</w:t>
      </w:r>
      <w:r>
        <w:t xml:space="preserve"> </w:t>
      </w:r>
      <w:r>
        <w:t xml:space="preserve">(some estimates cluster near</w:t>
      </w:r>
      <w:r>
        <w:t xml:space="preserve"> </w:t>
      </w:r>
      <m:oMath>
        <m:r>
          <m:t>0.58</m:t>
        </m:r>
        <m:r>
          <m:rPr>
            <m:sty m:val="p"/>
          </m:rPr>
          <m:t>−</m:t>
        </m:r>
      </m:oMath>
      <w:r>
        <w:t xml:space="preserve">0.62), down roughly 24% from</w:t>
      </w:r>
      <w:r>
        <w:t xml:space="preserve"> </w:t>
      </w:r>
      <w:r>
        <w:rPr>
          <w:b/>
          <w:bCs/>
        </w:rPr>
        <w:t xml:space="preserve">$0.79</w:t>
      </w:r>
      <w:r>
        <w:t xml:space="preserve"> </w:t>
      </w:r>
      <w:r>
        <w:t xml:space="preserve">in Q2 2025.</w:t>
      </w:r>
    </w:p>
    <w:p>
      <w:pPr>
        <w:pStyle w:val="Compact"/>
        <w:numPr>
          <w:ilvl w:val="0"/>
          <w:numId w:val="1002"/>
        </w:numPr>
      </w:pPr>
      <w:r>
        <w:t xml:space="preserve">Zacks-tracked segment estimates point to continued Las Vegas casino/room growth (casino revenue estimated near $500M vs. $457M prior year; room revenue near $775M vs. $735M).</w:t>
      </w:r>
    </w:p>
    <w:p>
      <w:pPr>
        <w:pStyle w:val="Compact"/>
        <w:numPr>
          <w:ilvl w:val="0"/>
          <w:numId w:val="1002"/>
        </w:numPr>
      </w:pPr>
      <w:r>
        <w:t xml:space="preserve">MGM has beaten EPS estimates in only 2 of its last 4 quarters and</w:t>
      </w:r>
      <w:r>
        <w:t xml:space="preserve"> </w:t>
      </w:r>
      <w:r>
        <w:rPr>
          <w:b/>
          <w:bCs/>
        </w:rPr>
        <w:t xml:space="preserve">missed Q1 2026 consensus of $0.56 with actual $0.49</w:t>
      </w:r>
      <w:r>
        <w:t xml:space="preserve"> </w:t>
      </w:r>
      <w:r>
        <w:t xml:space="preserve">(a 12.5% miss), so the beat/miss track record has been inconsistent recently.</w:t>
      </w:r>
    </w:p>
    <w:p>
      <w:pPr>
        <w:pStyle w:val="Compact"/>
        <w:numPr>
          <w:ilvl w:val="0"/>
          <w:numId w:val="1002"/>
        </w:numPr>
      </w:pPr>
      <w:r>
        <w:t xml:space="preserve">Morgan Stanley (Underweight, PT raised to $43 from $35 in its Q2 preview) models EPS around $0.62, citing the earnings decline alongside "acquisition probe" uncertainty as reasons for caution despite the higher target.</w:t>
      </w:r>
    </w:p>
    <w:bookmarkEnd w:id="12"/>
    <w:bookmarkStart w:id="13" w:name="stock-setup-into-the-print"/>
    <w:p>
      <w:pPr>
        <w:pStyle w:val="Heading2"/>
      </w:pPr>
      <w:r>
        <w:t xml:space="preserve">Stock Setup Into the Print</w:t>
      </w:r>
    </w:p>
    <w:p>
      <w:pPr>
        <w:pStyle w:val="FirstParagraph"/>
      </w:pPr>
      <w:r>
        <w:t xml:space="preserve">MGM shares have been on a wild ride in 2026 — trading in the mid-</w:t>
      </w:r>
      <m:oMath>
        <m:r>
          <m:t>30</m:t>
        </m:r>
        <m:r>
          <m:t>s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rPr>
            <m:sty m:val="p"/>
          </m:rPr>
          <m:t>,</m:t>
        </m:r>
        <m:r>
          <m:t>c</m:t>
        </m:r>
        <m:r>
          <m:t>l</m:t>
        </m:r>
        <m:r>
          <m:t>i</m:t>
        </m:r>
        <m:r>
          <m:t>m</m:t>
        </m:r>
        <m:r>
          <m:t>b</m:t>
        </m:r>
        <m:r>
          <m:t>i</m:t>
        </m:r>
        <m:r>
          <m:t>n</m:t>
        </m:r>
        <m:r>
          <m:t>g</m:t>
        </m:r>
        <m:r>
          <m:t>i</m:t>
        </m:r>
        <m:r>
          <m:t>n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rPr>
            <m:sty m:val="p"/>
          </m:rPr>
          <m:t>−</m:t>
        </m:r>
      </m:oMath>
      <w:r>
        <w:t xml:space="preserve">30s/low-</w:t>
      </w:r>
      <m:oMath>
        <m:r>
          <m:t>40</m:t>
        </m:r>
        <m:r>
          <m:t>s</m:t>
        </m:r>
        <m:r>
          <m:t>p</m:t>
        </m:r>
        <m:r>
          <m:t>o</m:t>
        </m:r>
        <m:r>
          <m:t>s</m:t>
        </m:r>
        <m:r>
          <m:t>t</m:t>
        </m:r>
        <m:r>
          <m:rPr>
            <m:sty m:val="p"/>
          </m:rPr>
          <m:t>−</m:t>
        </m:r>
        <m:r>
          <m:t>Q</m:t>
        </m:r>
        <m:r>
          <m:t>1</m:t>
        </m:r>
        <m:r>
          <m:t>e</m:t>
        </m:r>
        <m:r>
          <m:t>a</m:t>
        </m:r>
        <m:r>
          <m:t>r</m:t>
        </m:r>
        <m:r>
          <m:t>n</m:t>
        </m:r>
        <m:r>
          <m:t>i</m:t>
        </m:r>
        <m:r>
          <m:t>n</m:t>
        </m:r>
        <m:r>
          <m:t>g</m:t>
        </m:r>
        <m:r>
          <m:t>s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s</m:t>
        </m:r>
        <m:r>
          <m:t>p</m:t>
        </m:r>
        <m:r>
          <m:t>i</m:t>
        </m:r>
        <m:r>
          <m:t>k</m:t>
        </m:r>
        <m:r>
          <m:t>i</m:t>
        </m:r>
        <m:r>
          <m:t>n</m:t>
        </m:r>
        <m:r>
          <m:t>g</m:t>
        </m:r>
        <m:r>
          <m:t>f</m:t>
        </m:r>
        <m:r>
          <m:t>r</m:t>
        </m:r>
        <m:r>
          <m:t>o</m:t>
        </m:r>
        <m:r>
          <m:t>m</m:t>
        </m:r>
        <m:r>
          <m:t>t</m:t>
        </m:r>
        <m:r>
          <m:t>h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rPr>
            <m:sty m:val="p"/>
          </m:rPr>
          <m:t>−</m:t>
        </m:r>
      </m:oMath>
      <w:r>
        <w:t xml:space="preserve">40s to nearly</w:t>
      </w:r>
      <w:r>
        <w:t xml:space="preserve"> </w:t>
      </w:r>
      <m:oMath>
        <m:r>
          <m:t>51</m:t>
        </m:r>
        <m:r>
          <m:t>i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J</m:t>
        </m:r>
        <m:r>
          <m:t>u</m:t>
        </m:r>
        <m:r>
          <m:t>n</m:t>
        </m:r>
        <m:r>
          <m:t>e</m:t>
        </m:r>
        <m:r>
          <m:t>o</m:t>
        </m:r>
        <m:r>
          <m:t>n</m:t>
        </m:r>
        <m:r>
          <m:t>t</m:t>
        </m:r>
        <m:r>
          <m:t>h</m:t>
        </m:r>
        <m:r>
          <m:t>e</m:t>
        </m:r>
        <m:r>
          <m:t>D</m:t>
        </m:r>
        <m:r>
          <m:t>i</m:t>
        </m:r>
        <m:r>
          <m:t>l</m:t>
        </m:r>
        <m:r>
          <m:t>l</m:t>
        </m:r>
        <m:r>
          <m:t>e</m:t>
        </m:r>
        <m:r>
          <m:t>r</m:t>
        </m:r>
        <m:r>
          <m:t>b</m:t>
        </m:r>
        <m:r>
          <m:t>i</m:t>
        </m:r>
        <m:r>
          <m:t>d</m:t>
        </m:r>
        <m:r>
          <m:t>n</m:t>
        </m:r>
        <m:r>
          <m:t>e</m:t>
        </m:r>
        <m:r>
          <m:t>w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d</m:t>
        </m:r>
        <m:r>
          <m:t>r</m:t>
        </m:r>
        <m:r>
          <m:t>i</m:t>
        </m:r>
        <m:r>
          <m:t>f</m:t>
        </m:r>
        <m:r>
          <m:t>t</m:t>
        </m:r>
        <m:r>
          <m:t>i</m:t>
        </m:r>
        <m:r>
          <m:t>n</m:t>
        </m:r>
        <m:r>
          <m:t>g</m:t>
        </m:r>
        <m:r>
          <m:t>b</m:t>
        </m:r>
        <m:r>
          <m:t>a</m:t>
        </m:r>
        <m:r>
          <m:t>c</m:t>
        </m:r>
        <m:r>
          <m:t>k</m:t>
        </m:r>
        <m:r>
          <m:t>d</m:t>
        </m:r>
        <m:r>
          <m:t>o</m:t>
        </m:r>
        <m:r>
          <m:t>w</m:t>
        </m:r>
        <m:r>
          <m:t>n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</m:oMath>
      <w:r>
        <w:t xml:space="preserve">40s (~$46 as of July 27) as deal uncertainty and special-committee process lingered. That means the stock now sits below the $48.30 offer price — the market's real-time referendum on deal-closing odds and/or whether fundamentals alone would support a higher valuation.</w:t>
      </w:r>
    </w:p>
    <w:bookmarkEnd w:id="13"/>
    <w:bookmarkStart w:id="14" w:name="bottom-line-for-investors"/>
    <w:p>
      <w:pPr>
        <w:pStyle w:val="Heading2"/>
      </w:pPr>
      <w:r>
        <w:t xml:space="preserve">Bottom Line for Investors</w:t>
      </w:r>
    </w:p>
    <w:p>
      <w:pPr>
        <w:pStyle w:val="FirstParagraph"/>
      </w:pPr>
      <w:r>
        <w:t xml:space="preserve">This print is unusual in that</w:t>
      </w:r>
      <w:r>
        <w:t xml:space="preserve"> </w:t>
      </w:r>
      <w:r>
        <w:rPr>
          <w:b/>
          <w:bCs/>
        </w:rPr>
        <w:t xml:space="preserve">the M&amp;A overhang will likely overshadow the underlying operating numbers</w:t>
      </w:r>
      <w:r>
        <w:t xml:space="preserve">. Investors should watch for: (1) any management commentary — even indirect — on the special committee process or valuation of the business relative to the $48.30 offer; (2) confirmation that Las Vegas EBITDA growth is tracking toward management's full-year guidance now that the MGM Grand renovation comp has rolled off; (3) whether the self-insurance/litigation cost issue flagged in Q1 recurs; (4) Macau margin trends under the new branding-fee regime; and (5) any incremental color on capital allocation (buyback pace) that could be read as a signal about the board's confidence in intrinsic value versus the takeover price.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2026-07-28T01:04:51Z</dcterms:created>
  <dcterms:modified xsi:type="dcterms:W3CDTF">2026-07-28T01:04:51Z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