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mgm-resorts-q2-2026-earnings-preview"/>
    <w:p>
      <w:pPr>
        <w:pStyle w:val="Heading1"/>
      </w:pPr>
      <w:r>
        <w:t xml:space="preserve">MGM Resorts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BetMGM’s separate Q2 business update was scheduled for</w:t>
      </w:r>
      <w:r>
        <w:t xml:space="preserve"> </w:t>
      </w:r>
      <w:r>
        <w:rPr>
          <w:b/>
          <w:bCs/>
        </w:rPr>
        <w:t xml:space="preserve">Tuesday, July 28, 2026</w:t>
      </w:r>
      <w:r>
        <w:t xml:space="preserve">. MGM Resorts will report consolidated Q2 results</w:t>
      </w:r>
      <w:r>
        <w:t xml:space="preserve"> </w:t>
      </w:r>
      <w:r>
        <w:rPr>
          <w:b/>
          <w:bCs/>
        </w:rPr>
        <w:t xml:space="preserve">after the market closes on Wednesday, July 29, 2026</w:t>
      </w:r>
      <w:r>
        <w:t xml:space="preserve">, followed by its conference call at</w:t>
      </w:r>
      <w:r>
        <w:t xml:space="preserve"> </w:t>
      </w:r>
      <w:r>
        <w:rPr>
          <w:b/>
          <w:bCs/>
        </w:rPr>
        <w:t xml:space="preserve">5:00 p.m. ET</w:t>
      </w:r>
      <w:r>
        <w:t xml:space="preserve">. At the time of this research, BetMGM’s investor page still linked to the event notice rather than a Q2 results release, so the discussion below uses BetMGM’s last disclosed guidance. (</w:t>
      </w:r>
      <w:hyperlink r:id="rId9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bookmarkStart w:id="10" w:name="investment-view"/>
    <w:p>
      <w:pPr>
        <w:pStyle w:val="Heading2"/>
      </w:pPr>
      <w:r>
        <w:t xml:space="preserve">Investment view</w:t>
      </w:r>
    </w:p>
    <w:p>
      <w:pPr>
        <w:pStyle w:val="FirstParagraph"/>
      </w:pPr>
      <w:r>
        <w:t xml:space="preserve">The setup is</w:t>
      </w:r>
      <w:r>
        <w:t xml:space="preserve"> </w:t>
      </w:r>
      <w:r>
        <w:rPr>
          <w:b/>
          <w:bCs/>
        </w:rPr>
        <w:t xml:space="preserve">constructive, but not clean</w:t>
      </w:r>
      <w:r>
        <w:t xml:space="preserve">.</w:t>
      </w:r>
    </w:p>
    <w:p>
      <w:pPr>
        <w:pStyle w:val="BodyText"/>
      </w:pPr>
      <w:r>
        <w:t xml:space="preserve">MGM should benefit from easier Las Vegas comparisons, the completed MGM Grand room renovation, solid convention demand, continued Macau strength, and a smaller share count. Against that, lower-end Las Vegas demand remains a question, MGM China’s higher branding fee creates an optical EBITDA headwind, BetMGM already lowered revenue expectations in April, and international digital investment could remain elevated.</w:t>
      </w:r>
    </w:p>
    <w:p>
      <w:pPr>
        <w:pStyle w:val="BodyText"/>
      </w:pPr>
      <w:r>
        <w:t xml:space="preserve">The most important number will probably not be consolidated revenue or EPS. It will be</w:t>
      </w:r>
      <w:r>
        <w:t xml:space="preserve"> </w:t>
      </w:r>
      <w:r>
        <w:rPr>
          <w:b/>
          <w:bCs/>
        </w:rPr>
        <w:t xml:space="preserve">Las Vegas Strip EBITDAR</w:t>
      </w:r>
      <w:r>
        <w:t xml:space="preserve">, followed by management’s commentary on the second half of 2026.</w:t>
      </w:r>
    </w:p>
    <w:bookmarkEnd w:id="10"/>
    <w:bookmarkStart w:id="13" w:name="the-headline-expectations"/>
    <w:p>
      <w:pPr>
        <w:pStyle w:val="Heading2"/>
      </w:pPr>
      <w:r>
        <w:t xml:space="preserve">The headline expectations</w:t>
      </w:r>
    </w:p>
    <w:p>
      <w:pPr>
        <w:pStyle w:val="FirstParagraph"/>
      </w:pPr>
      <w:r>
        <w:t xml:space="preserve">Public consensus snapshots cluster around: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Approx.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4.45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4.51B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$4.405B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+1% to +2%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0.61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Down roughly 20%–23%</w:t>
            </w:r>
          </w:p>
        </w:tc>
      </w:tr>
    </w:tbl>
    <w:p>
      <w:pPr>
        <w:pStyle w:val="BodyText"/>
      </w:pPr>
      <w:r>
        <w:t xml:space="preserve">Consensus providers differ modestly, so the ranges are more useful than a single point estimate.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Last year’s Q2 comparison includes:</w:t>
      </w:r>
    </w:p>
    <w:p>
      <w:pPr>
        <w:pStyle w:val="Compact"/>
        <w:numPr>
          <w:ilvl w:val="0"/>
          <w:numId w:val="1001"/>
        </w:numPr>
      </w:pPr>
      <w:r>
        <w:t xml:space="preserve">Las Vegas Strip revenue of</w:t>
      </w:r>
      <w:r>
        <w:t xml:space="preserve"> </w:t>
      </w:r>
      <m:oMath>
        <m:r>
          <m:t>2.1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s</m:t>
        </m:r>
        <m:r>
          <m:t>e</m:t>
        </m:r>
        <m:r>
          <m:t>g</m:t>
        </m:r>
        <m:r>
          <m:t>m</m:t>
        </m:r>
        <m:r>
          <m:t>e</m:t>
        </m:r>
        <m:r>
          <m:t>n</m:t>
        </m:r>
        <m:r>
          <m:t>t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R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710 million</w:t>
      </w:r>
    </w:p>
    <w:p>
      <w:pPr>
        <w:pStyle w:val="Compact"/>
        <w:numPr>
          <w:ilvl w:val="0"/>
          <w:numId w:val="1001"/>
        </w:numPr>
      </w:pPr>
      <w:r>
        <w:t xml:space="preserve">Regional revenue of</w:t>
      </w:r>
      <w:r>
        <w:t xml:space="preserve"> </w:t>
      </w:r>
      <m:oMath>
        <m:r>
          <m:t>965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R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309 million</w:t>
      </w:r>
    </w:p>
    <w:p>
      <w:pPr>
        <w:pStyle w:val="Compact"/>
        <w:numPr>
          <w:ilvl w:val="0"/>
          <w:numId w:val="1001"/>
        </w:numPr>
      </w:pPr>
      <w:r>
        <w:t xml:space="preserve">MGM China revenue of</w:t>
      </w:r>
      <w:r>
        <w:t xml:space="preserve"> </w:t>
      </w:r>
      <m:oMath>
        <m:r>
          <m:t>1.1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R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301 million</w:t>
      </w:r>
    </w:p>
    <w:p>
      <w:pPr>
        <w:pStyle w:val="Compact"/>
        <w:numPr>
          <w:ilvl w:val="0"/>
          <w:numId w:val="1001"/>
        </w:numPr>
      </w:pPr>
      <w:r>
        <w:t xml:space="preserve">MGM Digital revenue of</w:t>
      </w:r>
      <w:r>
        <w:t xml:space="preserve"> </w:t>
      </w:r>
      <m:oMath>
        <m:r>
          <m:t>164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a</m:t>
        </m:r>
        <m:r>
          <m:t>n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R</m:t>
        </m:r>
        <m:r>
          <m:t>l</m:t>
        </m:r>
        <m:r>
          <m:t>o</m:t>
        </m:r>
        <m:r>
          <m:t>s</m:t>
        </m:r>
        <m:r>
          <m:t>s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26 million</w:t>
      </w:r>
    </w:p>
    <w:p>
      <w:pPr>
        <w:pStyle w:val="Compact"/>
        <w:numPr>
          <w:ilvl w:val="0"/>
          <w:numId w:val="1001"/>
        </w:numPr>
      </w:pPr>
      <w:r>
        <w:t xml:space="preserve">Consolidated adjusted EBITDA of</w:t>
      </w:r>
      <w:r>
        <w:t xml:space="preserve"> </w:t>
      </w:r>
      <m:oMath>
        <m:r>
          <m:t>648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0.79</w:t>
      </w:r>
      <w:r>
        <w:t xml:space="preserve"> </w:t>
      </w:r>
      <w:r>
        <w:t xml:space="preserve">(</w:t>
      </w:r>
      <w:hyperlink r:id="rId12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bookmarkEnd w:id="13"/>
    <w:bookmarkStart w:id="17" w:name="Xec31f86408ef39c21e7e6ad2925352e2456fbe4"/>
    <w:p>
      <w:pPr>
        <w:pStyle w:val="Heading2"/>
      </w:pPr>
      <w:r>
        <w:t xml:space="preserve">1. Las Vegas: the central earnings debate</w:t>
      </w:r>
    </w:p>
    <w:bookmarkStart w:id="14" w:name="why-the-comparison-should-improve"/>
    <w:p>
      <w:pPr>
        <w:pStyle w:val="Heading3"/>
      </w:pPr>
      <w:r>
        <w:t xml:space="preserve">Why the comparison should improve</w:t>
      </w:r>
    </w:p>
    <w:p>
      <w:pPr>
        <w:pStyle w:val="FirstParagraph"/>
      </w:pPr>
      <w:r>
        <w:t xml:space="preserve">Q2 2025 was hurt by the MGM Grand room renovation and unfavorable table-game hold. The renovated rooms are now back in inventory, while management entered Q2 pointing to solid convention bookings, its new all-inclusive offering, and stronger monthly revenue trends exiting Q1. (</w:t>
      </w:r>
      <w:hyperlink r:id="rId12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p>
      <w:pPr>
        <w:pStyle w:val="BodyText"/>
      </w:pPr>
      <w:r>
        <w:t xml:space="preserve">That makes the</w:t>
      </w:r>
      <w:r>
        <w:t xml:space="preserve"> </w:t>
      </w:r>
      <w:r>
        <w:rPr>
          <w:b/>
          <w:bCs/>
        </w:rPr>
        <w:t xml:space="preserve">$710 million Q2 2025 Strip EBITDAR comparison beatable</w:t>
      </w:r>
      <w:r>
        <w:t xml:space="preserve">, at least operationally. A result comfortably above that level would support the argument that MGM can return to Strip EBITDA growth despite an uneven consumer backdrop.</w:t>
      </w:r>
    </w:p>
    <w:bookmarkEnd w:id="14"/>
    <w:bookmarkStart w:id="15" w:name="what-could-prevent-the-rebound"/>
    <w:p>
      <w:pPr>
        <w:pStyle w:val="Heading3"/>
      </w:pPr>
      <w:r>
        <w:t xml:space="preserve">What could prevent the rebound</w:t>
      </w:r>
    </w:p>
    <w:p>
      <w:pPr>
        <w:pStyle w:val="FirstParagraph"/>
      </w:pPr>
      <w:r>
        <w:t xml:space="preserve">The key risk is that strength in conventions and luxury properties is being offset by weak midweek leisure demand at lower-end properties. MGM’s all-inclusive package may help occupancy and customer acquisition, but investors should focus on whether it also produces acceptable room rates, on-property spending and margins.</w:t>
      </w:r>
    </w:p>
    <w:p>
      <w:pPr>
        <w:pStyle w:val="BodyText"/>
      </w:pPr>
      <w:r>
        <w:t xml:space="preserve">Gaming hold is another major swing factor. MGM’s Strip business has meaningful premium and baccarat exposure, so a revenue or EBITDA beat driven mainly by hold would be less valuable than one driven by room nights, convention mix and underlying casino volumes.</w:t>
      </w:r>
    </w:p>
    <w:bookmarkEnd w:id="15"/>
    <w:bookmarkStart w:id="16" w:name="what-to-watch"/>
    <w:p>
      <w:pPr>
        <w:pStyle w:val="Heading3"/>
      </w:pPr>
      <w:r>
        <w:t xml:space="preserve">What to watch</w:t>
      </w:r>
    </w:p>
    <w:p>
      <w:pPr>
        <w:pStyle w:val="Compact"/>
        <w:numPr>
          <w:ilvl w:val="0"/>
          <w:numId w:val="1002"/>
        </w:numPr>
      </w:pPr>
      <w:r>
        <w:t xml:space="preserve">Strip net revenue growth versus last year’s</w:t>
      </w:r>
      <w:r>
        <w:t xml:space="preserve"> </w:t>
      </w:r>
      <w:r>
        <w:rPr>
          <w:b/>
          <w:bCs/>
        </w:rPr>
        <w:t xml:space="preserve">$2.115 billion</w:t>
      </w:r>
    </w:p>
    <w:p>
      <w:pPr>
        <w:pStyle w:val="Compact"/>
        <w:numPr>
          <w:ilvl w:val="0"/>
          <w:numId w:val="1002"/>
        </w:numPr>
      </w:pPr>
      <w:r>
        <w:t xml:space="preserve">Strip EBITDAR versus</w:t>
      </w:r>
      <w:r>
        <w:t xml:space="preserve"> </w:t>
      </w:r>
      <w:r>
        <w:rPr>
          <w:b/>
          <w:bCs/>
        </w:rPr>
        <w:t xml:space="preserve">$710 million</w:t>
      </w:r>
    </w:p>
    <w:p>
      <w:pPr>
        <w:pStyle w:val="Compact"/>
        <w:numPr>
          <w:ilvl w:val="0"/>
          <w:numId w:val="1002"/>
        </w:numPr>
      </w:pPr>
      <w:r>
        <w:t xml:space="preserve">Occupancy, ADR and RevPAR</w:t>
      </w:r>
    </w:p>
    <w:p>
      <w:pPr>
        <w:pStyle w:val="Compact"/>
        <w:numPr>
          <w:ilvl w:val="0"/>
          <w:numId w:val="1002"/>
        </w:numPr>
      </w:pPr>
      <w:r>
        <w:t xml:space="preserve">Table-game drop and slot handle, not merely reported casino win</w:t>
      </w:r>
    </w:p>
    <w:p>
      <w:pPr>
        <w:pStyle w:val="Compact"/>
        <w:numPr>
          <w:ilvl w:val="0"/>
          <w:numId w:val="1002"/>
        </w:numPr>
      </w:pPr>
      <w:r>
        <w:t xml:space="preserve">Luxury versus value-tier performance</w:t>
      </w:r>
    </w:p>
    <w:p>
      <w:pPr>
        <w:pStyle w:val="Compact"/>
        <w:numPr>
          <w:ilvl w:val="0"/>
          <w:numId w:val="1002"/>
        </w:numPr>
      </w:pPr>
      <w:r>
        <w:t xml:space="preserve">July and forward convention-booking commentary</w:t>
      </w:r>
    </w:p>
    <w:p>
      <w:pPr>
        <w:pStyle w:val="Compact"/>
        <w:numPr>
          <w:ilvl w:val="0"/>
          <w:numId w:val="1002"/>
        </w:numPr>
      </w:pPr>
      <w:r>
        <w:t xml:space="preserve">Whether management still expects full-year Las Vegas EBITDA growth</w:t>
      </w:r>
    </w:p>
    <w:p>
      <w:pPr>
        <w:pStyle w:val="FirstParagraph"/>
      </w:pPr>
      <w:r>
        <w:rPr>
          <w:b/>
          <w:bCs/>
        </w:rPr>
        <w:t xml:space="preserve">Best outcome:</w:t>
      </w:r>
      <w:r>
        <w:t xml:space="preserve"> </w:t>
      </w:r>
      <w:r>
        <w:t xml:space="preserve">Strip EBITDA grows on normalized hold, improved room inventory and healthy convention demand.</w:t>
      </w:r>
    </w:p>
    <w:p>
      <w:pPr>
        <w:pStyle w:val="BodyText"/>
      </w:pPr>
      <w:r>
        <w:rPr>
          <w:b/>
          <w:bCs/>
        </w:rPr>
        <w:t xml:space="preserve">Weak outcome:</w:t>
      </w:r>
      <w:r>
        <w:t xml:space="preserve"> </w:t>
      </w:r>
      <w:r>
        <w:t xml:space="preserve">Revenue recovers, but EBITDA remains flat or down because of discounting, labor costs, marketing expense or lower-end consumer weakness.</w:t>
      </w:r>
    </w:p>
    <w:bookmarkEnd w:id="16"/>
    <w:bookmarkEnd w:id="17"/>
    <w:bookmarkStart w:id="19" w:name="Xb996474a651b46f9019c7699e69bd3ca781272e"/>
    <w:p>
      <w:pPr>
        <w:pStyle w:val="Heading2"/>
      </w:pPr>
      <w:r>
        <w:t xml:space="preserve">2. BetMGM: guidance matters more than Q2 alone</w:t>
      </w:r>
    </w:p>
    <w:p>
      <w:pPr>
        <w:pStyle w:val="FirstParagraph"/>
      </w:pPr>
      <w:r>
        <w:t xml:space="preserve">BetMGM entered 2026 expecting revenue of</w:t>
      </w:r>
      <w:r>
        <w:t xml:space="preserve"> </w:t>
      </w:r>
      <m:oMath>
        <m:r>
          <m:t>3.1</m:t>
        </m:r>
        <m:r>
          <m:rPr>
            <m:sty m:val="p"/>
          </m:rPr>
          <m:t>–</m:t>
        </m:r>
      </m:oMath>
      <w:r>
        <w:t xml:space="preserve">3.2 billion and adjusted EBITDA of</w:t>
      </w:r>
      <w:r>
        <w:t xml:space="preserve"> </w:t>
      </w:r>
      <m:oMath>
        <m:r>
          <m:t>300</m:t>
        </m:r>
        <m:r>
          <m:rPr>
            <m:sty m:val="p"/>
          </m:rPr>
          <m:t>–</m:t>
        </m:r>
      </m:oMath>
      <w:r>
        <w:t xml:space="preserve">350 million. After Q1, it cut revenue guidance to</w:t>
      </w:r>
      <w:r>
        <w:t xml:space="preserve"> </w:t>
      </w:r>
      <m:oMath>
        <m:r>
          <m:t>2.9</m:t>
        </m:r>
        <m:r>
          <m:rPr>
            <m:sty m:val="p"/>
          </m:rPr>
          <m:t>–</m:t>
        </m:r>
      </m:oMath>
      <w:r>
        <w:rPr>
          <w:b/>
          <w:bCs/>
        </w:rPr>
        <w:t xml:space="preserve">3.1 billion</w:t>
      </w:r>
      <w:r>
        <w:t xml:space="preserve"> </w:t>
      </w:r>
      <w:r>
        <w:t xml:space="preserve">and said EBITDA would likely land toward the</w:t>
      </w:r>
      <w:r>
        <w:t xml:space="preserve"> </w:t>
      </w:r>
      <w:r>
        <w:rPr>
          <w:b/>
          <w:bCs/>
        </w:rPr>
        <w:t xml:space="preserve">lower end of the unchanged</w:t>
      </w:r>
      <w:r>
        <w:rPr>
          <w:b/>
          <w:bCs/>
        </w:rPr>
        <w:t xml:space="preserve"> </w:t>
      </w:r>
      <m:oMath>
        <m:r>
          <m:t>300</m:t>
        </m:r>
        <m:r>
          <m:rPr>
            <m:sty m:val="p"/>
          </m:rPr>
          <m:t>–</m:t>
        </m:r>
      </m:oMath>
      <w:r>
        <w:rPr>
          <w:b/>
          <w:bCs/>
        </w:rPr>
        <w:t xml:space="preserve">350 million range</w:t>
      </w:r>
      <w:r>
        <w:t xml:space="preserve">.</w:t>
      </w:r>
    </w:p>
    <w:p>
      <w:pPr>
        <w:pStyle w:val="BodyText"/>
      </w:pPr>
      <w:r>
        <w:t xml:space="preserve">Q1 net revenue rose 6% to $696 million and adjusted EBITDA increased 11% to</w:t>
      </w:r>
      <w:r>
        <w:t xml:space="preserve"> </w:t>
      </w:r>
      <m:oMath>
        <m:r>
          <m:t>25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a</m:t>
        </m:r>
        <m:r>
          <m:t>c</m:t>
        </m:r>
        <m:r>
          <m:t>t</m:t>
        </m:r>
        <m:r>
          <m:t>i</m:t>
        </m:r>
        <m:r>
          <m:t>v</m:t>
        </m:r>
        <m:r>
          <m:t>e</m:t>
        </m:r>
        <m:r>
          <m:t>u</m:t>
        </m:r>
        <m:r>
          <m:t>s</m:t>
        </m:r>
        <m:r>
          <m:t>e</m:t>
        </m:r>
        <m:r>
          <m:t>r</m:t>
        </m:r>
        <m:r>
          <m:t>s</m:t>
        </m:r>
        <m:r>
          <m:t>d</m:t>
        </m:r>
        <m:r>
          <m:t>e</m:t>
        </m:r>
        <m:r>
          <m:t>c</m:t>
        </m:r>
        <m:r>
          <m:t>l</m:t>
        </m:r>
        <m:r>
          <m:t>i</m:t>
        </m:r>
        <m:r>
          <m:t>n</m:t>
        </m:r>
        <m:r>
          <m:t>e</m:t>
        </m:r>
        <m:r>
          <m:t>d</m:t>
        </m:r>
        <m:r>
          <m:t>a</m:t>
        </m:r>
        <m:r>
          <m:t>s</m:t>
        </m:r>
        <m:r>
          <m:t>B</m:t>
        </m:r>
        <m:r>
          <m:t>e</m:t>
        </m:r>
        <m:r>
          <m:t>t</m:t>
        </m:r>
        <m:r>
          <m:t>M</m:t>
        </m:r>
        <m:r>
          <m:t>G</m:t>
        </m:r>
        <m:r>
          <m:t>M</m:t>
        </m:r>
        <m:r>
          <m:t>e</m:t>
        </m:r>
        <m:r>
          <m:t>m</m:t>
        </m:r>
        <m:r>
          <m:t>p</m:t>
        </m:r>
        <m:r>
          <m:t>h</m:t>
        </m:r>
        <m:r>
          <m:t>a</m:t>
        </m:r>
        <m:r>
          <m:t>s</m:t>
        </m:r>
        <m:r>
          <m:t>i</m:t>
        </m:r>
        <m:r>
          <m:t>z</m:t>
        </m:r>
        <m:r>
          <m:t>e</m:t>
        </m:r>
        <m:r>
          <m:t>d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r</m:t>
        </m:r>
        <m:r>
          <m:rPr>
            <m:sty m:val="p"/>
          </m:rPr>
          <m:t>−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t>p</m:t>
        </m:r>
        <m:r>
          <m:t>l</m:t>
        </m:r>
        <m:r>
          <m:t>a</m:t>
        </m:r>
        <m:r>
          <m:t>y</m:t>
        </m:r>
        <m:r>
          <m:t>e</m:t>
        </m:r>
        <m:r>
          <m:t>r</m:t>
        </m:r>
        <m:r>
          <m:t>s</m:t>
        </m:r>
        <m:r>
          <m:t>a</m:t>
        </m:r>
        <m:r>
          <m:t>n</m:t>
        </m:r>
        <m:r>
          <m:t>d</m:t>
        </m:r>
        <m:r>
          <m:t>d</m:t>
        </m:r>
        <m:r>
          <m:t>i</m:t>
        </m:r>
        <m:r>
          <m:t>s</m:t>
        </m:r>
        <m:r>
          <m:t>c</m:t>
        </m:r>
        <m:r>
          <m:t>i</m:t>
        </m:r>
        <m:r>
          <m:t>p</m:t>
        </m:r>
        <m:r>
          <m:t>l</m:t>
        </m:r>
        <m:r>
          <m:t>i</m:t>
        </m:r>
        <m:r>
          <m:t>n</m:t>
        </m:r>
        <m:r>
          <m:t>e</m:t>
        </m:r>
        <m:r>
          <m:t>d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m</m:t>
        </m:r>
        <m:r>
          <m:t>a</m:t>
        </m:r>
        <m:r>
          <m:t>i</m:t>
        </m:r>
        <m:r>
          <m:t>n</m:t>
        </m:r>
        <m:r>
          <m:t>t</m:t>
        </m:r>
        <m:r>
          <m:t>a</m:t>
        </m:r>
        <m:r>
          <m:t>i</m:t>
        </m:r>
        <m:r>
          <m:t>n</m:t>
        </m:r>
        <m:r>
          <m:t>e</m:t>
        </m:r>
        <m:r>
          <m:t>d</m:t>
        </m:r>
        <m:r>
          <m:t>i</m:t>
        </m:r>
        <m:r>
          <m:t>t</m:t>
        </m:r>
        <m:r>
          <m:t>s</m:t>
        </m:r>
        <m:r>
          <m:t>g</m:t>
        </m:r>
        <m:r>
          <m:t>o</m:t>
        </m:r>
        <m:r>
          <m:t>a</m:t>
        </m:r>
        <m:r>
          <m:t>l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500 million of adjusted EBITDA in 2027**. (</w:t>
      </w:r>
      <w:hyperlink r:id="rId18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p>
      <w:pPr>
        <w:pStyle w:val="BodyText"/>
      </w:pPr>
      <w:r>
        <w:t xml:space="preserve">For MGM shareholders, the questions are: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Does 2026 guidance hold?</w:t>
      </w:r>
      <w:r>
        <w:br/>
      </w:r>
      <w:r>
        <w:t xml:space="preserve">Another revenue reduction—or any EBITDA cut—would raise doubts about the 2027 target.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Is sports-betting profitability improving structurally?</w:t>
      </w:r>
      <w:r>
        <w:br/>
      </w:r>
      <w:r>
        <w:t xml:space="preserve">Investors should separate favorable sports outcomes from better player economics, promotion discipline and product improvements.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Is iGaming maintaining high-single-digit or better growth?</w:t>
      </w:r>
      <w:r>
        <w:br/>
      </w:r>
      <w:r>
        <w:t xml:space="preserve">This remains BetMGM’s strongest vertical and its clearest competitive advantage.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How much cash will reach MGM?</w:t>
      </w:r>
      <w:r>
        <w:br/>
      </w:r>
      <w:r>
        <w:t xml:space="preserve">BetMGM’s value to MGM increasingly depends on parent fees and distributions, not only private-market valuation arguments.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Did the World Cup create profitable customers?</w:t>
      </w:r>
      <w:r>
        <w:br/>
      </w:r>
      <w:r>
        <w:t xml:space="preserve">High betting volume is positive, but customer-acquisition and promotional spending determine whether it translates into durable EBITDA.</w:t>
      </w:r>
    </w:p>
    <w:p>
      <w:pPr>
        <w:pStyle w:val="FirstParagraph"/>
      </w:pPr>
      <w:r>
        <w:t xml:space="preserve">A reaffirmed 2026 range with improving second-half confidence would be a meaningful positive. An EBITDA guide cut would likely overshadow a consolidated MGM earnings beat.</w:t>
      </w:r>
    </w:p>
    <w:bookmarkEnd w:id="19"/>
    <w:bookmarkStart w:id="21" w:name="X54c41808670a9e8458c6c5d7da4056d85d8fa10"/>
    <w:p>
      <w:pPr>
        <w:pStyle w:val="Heading2"/>
      </w:pPr>
      <w:r>
        <w:t xml:space="preserve">3. MGM China: strong market position, noisy reported margins</w:t>
      </w:r>
    </w:p>
    <w:p>
      <w:pPr>
        <w:pStyle w:val="FirstParagraph"/>
      </w:pPr>
      <w:r>
        <w:t xml:space="preserve">MGM China has been one of MGM’s strongest operating businesses. In Q1, revenue grew 9% to $1.1 billion, although segment EBITDAR declined because the intercompany branding fee increased from 1.75% to 3.5% of revenue. The higher fee reduces reported MGM China segment profit but increases cash flow and fee income received by the parent. (</w:t>
      </w:r>
      <w:hyperlink r:id="rId20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p>
      <w:pPr>
        <w:pStyle w:val="BodyText"/>
      </w:pPr>
      <w:r>
        <w:t xml:space="preserve">Investors should therefore examine MGM China in two ways: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Property operations before the incremental branding fee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Cash economics to consolidated MGM Resorts</w:t>
      </w:r>
    </w:p>
    <w:p>
      <w:pPr>
        <w:pStyle w:val="FirstParagraph"/>
      </w:pPr>
      <w:r>
        <w:t xml:space="preserve">The most important operating indicators will be:</w:t>
      </w:r>
    </w:p>
    <w:p>
      <w:pPr>
        <w:pStyle w:val="Compact"/>
        <w:numPr>
          <w:ilvl w:val="0"/>
          <w:numId w:val="1005"/>
        </w:numPr>
      </w:pPr>
      <w:r>
        <w:t xml:space="preserve">Premium-mass market share</w:t>
      </w:r>
    </w:p>
    <w:p>
      <w:pPr>
        <w:pStyle w:val="Compact"/>
        <w:numPr>
          <w:ilvl w:val="0"/>
          <w:numId w:val="1005"/>
        </w:numPr>
      </w:pPr>
      <w:r>
        <w:t xml:space="preserve">Main-floor table drop</w:t>
      </w:r>
    </w:p>
    <w:p>
      <w:pPr>
        <w:pStyle w:val="Compact"/>
        <w:numPr>
          <w:ilvl w:val="0"/>
          <w:numId w:val="1005"/>
        </w:numPr>
      </w:pPr>
      <w:r>
        <w:t xml:space="preserve">Normalized hold</w:t>
      </w:r>
    </w:p>
    <w:p>
      <w:pPr>
        <w:pStyle w:val="Compact"/>
        <w:numPr>
          <w:ilvl w:val="0"/>
          <w:numId w:val="1005"/>
        </w:numPr>
      </w:pPr>
      <w:r>
        <w:t xml:space="preserve">Property-level margin before the new fee</w:t>
      </w:r>
    </w:p>
    <w:p>
      <w:pPr>
        <w:pStyle w:val="Compact"/>
        <w:numPr>
          <w:ilvl w:val="0"/>
          <w:numId w:val="1005"/>
        </w:numPr>
      </w:pPr>
      <w:r>
        <w:t xml:space="preserve">Returns from recently renovated suites and premium gaming areas</w:t>
      </w:r>
    </w:p>
    <w:p>
      <w:pPr>
        <w:pStyle w:val="Compact"/>
        <w:numPr>
          <w:ilvl w:val="0"/>
          <w:numId w:val="1005"/>
        </w:numPr>
      </w:pPr>
      <w:r>
        <w:t xml:space="preserve">Expected dividends and branding-fee cash flow to MGM</w:t>
      </w:r>
    </w:p>
    <w:p>
      <w:pPr>
        <w:pStyle w:val="FirstParagraph"/>
      </w:pPr>
      <w:r>
        <w:t xml:space="preserve">Macau hold can create significant quarterly volatility, particularly in premium play. A reported EBITDA decline is not necessarily evidence of weaker operations if volumes and market share remain healthy and the branding fee explains the difference.</w:t>
      </w:r>
    </w:p>
    <w:bookmarkEnd w:id="21"/>
    <w:bookmarkStart w:id="22" w:name="Xac9a87bbf6a0fb16c58d957e0c2ff9c846ca62c"/>
    <w:p>
      <w:pPr>
        <w:pStyle w:val="Heading2"/>
      </w:pPr>
      <w:r>
        <w:t xml:space="preserve">4. Regional casinos: adjust for the Northfield sale</w:t>
      </w:r>
    </w:p>
    <w:p>
      <w:pPr>
        <w:pStyle w:val="FirstParagraph"/>
      </w:pPr>
      <w:r>
        <w:t xml:space="preserve">MGM completed the sale of MGM Northfield Park’s operations for</w:t>
      </w:r>
      <w:r>
        <w:t xml:space="preserve"> </w:t>
      </w:r>
      <w:r>
        <w:rPr>
          <w:b/>
          <w:bCs/>
        </w:rPr>
        <w:t xml:space="preserve">$546 million in April 2026</w:t>
      </w:r>
      <w:r>
        <w:t xml:space="preserve">. As a result, reported Regional Operations revenue and EBITDAR will lose nearly a full quarter of Northfield contribution. The clean comparison will be MGM’s</w:t>
      </w:r>
      <w:r>
        <w:t xml:space="preserve"> </w:t>
      </w:r>
      <w:r>
        <w:rPr>
          <w:b/>
          <w:bCs/>
        </w:rPr>
        <w:t xml:space="preserve">same-store regional results</w:t>
      </w:r>
      <w:r>
        <w:t xml:space="preserve">, not the headline year-over-year change. (</w:t>
      </w:r>
      <w:hyperlink r:id="rId20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p>
      <w:pPr>
        <w:pStyle w:val="BodyText"/>
      </w:pPr>
      <w:r>
        <w:t xml:space="preserve">The regionals entered Q2 with decent underlying casino volumes, but Q1 profitability was affected by higher self-insurance expense, lower business-interruption proceeds and weather disruption.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6"/>
        </w:numPr>
      </w:pPr>
      <w:r>
        <w:t xml:space="preserve">Same-store revenue and EBITDAR growth</w:t>
      </w:r>
    </w:p>
    <w:p>
      <w:pPr>
        <w:pStyle w:val="Compact"/>
        <w:numPr>
          <w:ilvl w:val="0"/>
          <w:numId w:val="1006"/>
        </w:numPr>
      </w:pPr>
      <w:r>
        <w:t xml:space="preserve">Slot handle and table drop</w:t>
      </w:r>
    </w:p>
    <w:p>
      <w:pPr>
        <w:pStyle w:val="Compact"/>
        <w:numPr>
          <w:ilvl w:val="0"/>
          <w:numId w:val="1006"/>
        </w:numPr>
      </w:pPr>
      <w:r>
        <w:t xml:space="preserve">Labor and insurance-cost trends</w:t>
      </w:r>
    </w:p>
    <w:p>
      <w:pPr>
        <w:pStyle w:val="Compact"/>
        <w:numPr>
          <w:ilvl w:val="0"/>
          <w:numId w:val="1006"/>
        </w:numPr>
      </w:pPr>
      <w:r>
        <w:t xml:space="preserve">Performance at Borgata and MGM National Harbor</w:t>
      </w:r>
    </w:p>
    <w:p>
      <w:pPr>
        <w:pStyle w:val="Compact"/>
        <w:numPr>
          <w:ilvl w:val="0"/>
          <w:numId w:val="1006"/>
        </w:numPr>
      </w:pPr>
      <w:r>
        <w:t xml:space="preserve">A clear bridge for the absence of Northfield</w:t>
      </w:r>
    </w:p>
    <w:p>
      <w:pPr>
        <w:pStyle w:val="FirstParagraph"/>
      </w:pPr>
      <w:r>
        <w:t xml:space="preserve">A reported regional decline accompanied by stable or growing same-store EBITDA would be acceptable. Weak same-store casino volumes would be more concerning.</w:t>
      </w:r>
    </w:p>
    <w:bookmarkEnd w:id="22"/>
    <w:bookmarkStart w:id="23" w:name="X9069379eb5a39e520e6087662c9063290d56379"/>
    <w:p>
      <w:pPr>
        <w:pStyle w:val="Heading2"/>
      </w:pPr>
      <w:r>
        <w:t xml:space="preserve">5. MGM Digital: growth is good, but the losses must narrow</w:t>
      </w:r>
    </w:p>
    <w:p>
      <w:pPr>
        <w:pStyle w:val="FirstParagraph"/>
      </w:pPr>
      <w:r>
        <w:t xml:space="preserve">MGM Digital—which includes LeoVegas and MGM’s consolidated international online operations, but not BetMGM—produced Q1 revenue of</w:t>
      </w:r>
      <w:r>
        <w:t xml:space="preserve"> </w:t>
      </w:r>
      <m:oMath>
        <m:r>
          <m:t>183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43</m:t>
        </m:r>
      </m:oMath>
      <w:r>
        <w:rPr>
          <w:b/>
          <w:bCs/>
        </w:rPr>
        <w:t xml:space="preserve">26 million EBITDAR loss</w:t>
      </w:r>
      <w:r>
        <w:t xml:space="preserve">. Management previously said the full-year loss should narrow materially, although Brazil’s regulatory, tax and competitive environment could lead to higher investment. (</w:t>
      </w:r>
      <w:hyperlink r:id="rId20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p>
      <w:pPr>
        <w:pStyle w:val="BodyText"/>
      </w:pPr>
      <w:r>
        <w:t xml:space="preserve">The Q2 2025 comparison is revenue of $164 million and a $26 million loss. (</w:t>
      </w:r>
      <w:hyperlink r:id="rId12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p>
      <w:pPr>
        <w:pStyle w:val="BodyText"/>
      </w:pPr>
      <w:r>
        <w:t xml:space="preserve">A good report would show:</w:t>
      </w:r>
    </w:p>
    <w:p>
      <w:pPr>
        <w:pStyle w:val="Compact"/>
        <w:numPr>
          <w:ilvl w:val="0"/>
          <w:numId w:val="1007"/>
        </w:numPr>
      </w:pPr>
      <w:r>
        <w:t xml:space="preserve">Continued double-digit revenue growth</w:t>
      </w:r>
    </w:p>
    <w:p>
      <w:pPr>
        <w:pStyle w:val="Compact"/>
        <w:numPr>
          <w:ilvl w:val="0"/>
          <w:numId w:val="1007"/>
        </w:numPr>
      </w:pPr>
      <w:r>
        <w:t xml:space="preserve">Stable or narrowing losses</w:t>
      </w:r>
    </w:p>
    <w:p>
      <w:pPr>
        <w:pStyle w:val="Compact"/>
        <w:numPr>
          <w:ilvl w:val="0"/>
          <w:numId w:val="1007"/>
        </w:numPr>
      </w:pPr>
      <w:r>
        <w:t xml:space="preserve">Progress migrating sportsbooks to MGM’s proprietary platform</w:t>
      </w:r>
    </w:p>
    <w:p>
      <w:pPr>
        <w:pStyle w:val="Compact"/>
        <w:numPr>
          <w:ilvl w:val="0"/>
          <w:numId w:val="1007"/>
        </w:numPr>
      </w:pPr>
      <w:r>
        <w:t xml:space="preserve">Evidence that Brazil is scaling without an open-ended marketing commitment</w:t>
      </w:r>
    </w:p>
    <w:p>
      <w:pPr>
        <w:pStyle w:val="Compact"/>
        <w:numPr>
          <w:ilvl w:val="0"/>
          <w:numId w:val="1007"/>
        </w:numPr>
      </w:pPr>
      <w:r>
        <w:t xml:space="preserve">Continued progress toward approximately breakeven performance in 2027</w:t>
      </w:r>
    </w:p>
    <w:p>
      <w:pPr>
        <w:pStyle w:val="FirstParagraph"/>
      </w:pPr>
      <w:r>
        <w:t xml:space="preserve">Revenue growth paired with a significantly larger loss would be a lower-quality result.</w:t>
      </w:r>
    </w:p>
    <w:bookmarkEnd w:id="23"/>
    <w:bookmarkStart w:id="24" w:name="X5883da56f6cb1a9b3aaaaaff06d9d02949370ee"/>
    <w:p>
      <w:pPr>
        <w:pStyle w:val="Heading2"/>
      </w:pPr>
      <w:r>
        <w:t xml:space="preserve">6. Capital allocation may be a major catalyst</w:t>
      </w:r>
    </w:p>
    <w:p>
      <w:pPr>
        <w:pStyle w:val="FirstParagraph"/>
      </w:pPr>
      <w:r>
        <w:t xml:space="preserve">MGM ended Q1 with approximately $2.3 billion of cash, subsequently received $546 million from Northfield, and had roughly $1.5 billion remaining under its repurchase authorization. It repurchased about $90 million of stock during Q1. (</w:t>
      </w:r>
      <w:hyperlink r:id="rId20">
        <w:r>
          <w:rPr>
            <w:rStyle w:val="Hyperlink"/>
          </w:rPr>
          <w:t xml:space="preserve">investors.mgmresorts.com</w:t>
        </w:r>
      </w:hyperlink>
      <w:r>
        <w:t xml:space="preserve">)</w:t>
      </w:r>
    </w:p>
    <w:p>
      <w:pPr>
        <w:pStyle w:val="BodyText"/>
      </w:pPr>
      <w:r>
        <w:t xml:space="preserve">The shares were recently around $46, meaning the valuation and buyback opportunity are less obviously compelling than they were earlier in 2026.</w:t>
      </w:r>
    </w:p>
    <w:p>
      <w:pPr>
        <w:pStyle w:val="BodyText"/>
      </w:pPr>
      <w:r>
        <w:t xml:space="preserve">Important questions include:</w:t>
      </w:r>
    </w:p>
    <w:p>
      <w:pPr>
        <w:pStyle w:val="Compact"/>
        <w:numPr>
          <w:ilvl w:val="0"/>
          <w:numId w:val="1008"/>
        </w:numPr>
      </w:pPr>
      <w:r>
        <w:t xml:space="preserve">How much of the Northfield proceeds has been used for buybacks?</w:t>
      </w:r>
    </w:p>
    <w:p>
      <w:pPr>
        <w:pStyle w:val="Compact"/>
        <w:numPr>
          <w:ilvl w:val="0"/>
          <w:numId w:val="1008"/>
        </w:numPr>
      </w:pPr>
      <w:r>
        <w:t xml:space="preserve">Has MGM accelerated repurchases since Q1?</w:t>
      </w:r>
    </w:p>
    <w:p>
      <w:pPr>
        <w:pStyle w:val="Compact"/>
        <w:numPr>
          <w:ilvl w:val="0"/>
          <w:numId w:val="1008"/>
        </w:numPr>
      </w:pPr>
      <w:r>
        <w:t xml:space="preserve">What stock price or valuation changes management’s appetite?</w:t>
      </w:r>
    </w:p>
    <w:p>
      <w:pPr>
        <w:pStyle w:val="Compact"/>
        <w:numPr>
          <w:ilvl w:val="0"/>
          <w:numId w:val="1008"/>
        </w:numPr>
      </w:pPr>
      <w:r>
        <w:t xml:space="preserve">How should investors model Japan funding over the next several years?</w:t>
      </w:r>
    </w:p>
    <w:p>
      <w:pPr>
        <w:pStyle w:val="Compact"/>
        <w:numPr>
          <w:ilvl w:val="0"/>
          <w:numId w:val="1008"/>
        </w:numPr>
      </w:pPr>
      <w:r>
        <w:t xml:space="preserve">Will BetMGM and MGM China distributions increasingly fund buybacks and development spending?</w:t>
      </w:r>
    </w:p>
    <w:p>
      <w:pPr>
        <w:pStyle w:val="FirstParagraph"/>
      </w:pPr>
      <w:r>
        <w:t xml:space="preserve">A meaningful reduction in the diluted share count can cushion weak operating EPS, but investors should distinguish share-count accretion from actual EBITDA growth.</w:t>
      </w:r>
    </w:p>
    <w:bookmarkEnd w:id="24"/>
    <w:bookmarkStart w:id="28" w:name="bull-base-and-bear-frameworks"/>
    <w:p>
      <w:pPr>
        <w:pStyle w:val="Heading2"/>
      </w:pPr>
      <w:r>
        <w:t xml:space="preserve">Bull, base and bear frameworks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9"/>
        </w:numPr>
      </w:pPr>
      <w:r>
        <w:t xml:space="preserve">Strip EBITDAR clearly exceeds $710 million on healthy underlying trends</w:t>
      </w:r>
    </w:p>
    <w:p>
      <w:pPr>
        <w:pStyle w:val="Compact"/>
        <w:numPr>
          <w:ilvl w:val="0"/>
          <w:numId w:val="1009"/>
        </w:numPr>
      </w:pPr>
      <w:r>
        <w:t xml:space="preserve">Convention and luxury demand remain strong into the second half</w:t>
      </w:r>
    </w:p>
    <w:p>
      <w:pPr>
        <w:pStyle w:val="Compact"/>
        <w:numPr>
          <w:ilvl w:val="0"/>
          <w:numId w:val="1009"/>
        </w:numPr>
      </w:pPr>
      <w:r>
        <w:t xml:space="preserve">BetMGM maintains guidance and expresses confidence in the 2027 target</w:t>
      </w:r>
    </w:p>
    <w:p>
      <w:pPr>
        <w:pStyle w:val="Compact"/>
        <w:numPr>
          <w:ilvl w:val="0"/>
          <w:numId w:val="1009"/>
        </w:numPr>
      </w:pPr>
      <w:r>
        <w:t xml:space="preserve">MGM China preserves market share and fee-adjusted margins</w:t>
      </w:r>
    </w:p>
    <w:p>
      <w:pPr>
        <w:pStyle w:val="Compact"/>
        <w:numPr>
          <w:ilvl w:val="0"/>
          <w:numId w:val="1009"/>
        </w:numPr>
      </w:pPr>
      <w:r>
        <w:t xml:space="preserve">MGM Digital growth remains strong without deeper losses</w:t>
      </w:r>
    </w:p>
    <w:p>
      <w:pPr>
        <w:pStyle w:val="Compact"/>
        <w:numPr>
          <w:ilvl w:val="0"/>
          <w:numId w:val="1009"/>
        </w:numPr>
      </w:pPr>
      <w:r>
        <w:t xml:space="preserve">Northfield proceeds fund accelerated repurchases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0"/>
        </w:numPr>
      </w:pPr>
      <w:r>
        <w:t xml:space="preserve">Consolidated revenue lands near $4.5 billion</w:t>
      </w:r>
    </w:p>
    <w:p>
      <w:pPr>
        <w:pStyle w:val="Compact"/>
        <w:numPr>
          <w:ilvl w:val="0"/>
          <w:numId w:val="1010"/>
        </w:numPr>
      </w:pPr>
      <w:r>
        <w:t xml:space="preserve">Strip EBITDA rises modestly against the disrupted prior-year comparison</w:t>
      </w:r>
    </w:p>
    <w:p>
      <w:pPr>
        <w:pStyle w:val="Compact"/>
        <w:numPr>
          <w:ilvl w:val="0"/>
          <w:numId w:val="1010"/>
        </w:numPr>
      </w:pPr>
      <w:r>
        <w:t xml:space="preserve">BetMGM reiterates lower-end EBITDA guidance</w:t>
      </w:r>
    </w:p>
    <w:p>
      <w:pPr>
        <w:pStyle w:val="Compact"/>
        <w:numPr>
          <w:ilvl w:val="0"/>
          <w:numId w:val="1010"/>
        </w:numPr>
      </w:pPr>
      <w:r>
        <w:t xml:space="preserve">MGM China is operationally solid but optically pressured by the branding fee</w:t>
      </w:r>
    </w:p>
    <w:p>
      <w:pPr>
        <w:pStyle w:val="Compact"/>
        <w:numPr>
          <w:ilvl w:val="0"/>
          <w:numId w:val="1010"/>
        </w:numPr>
      </w:pPr>
      <w:r>
        <w:t xml:space="preserve">Regional headline results decline because of Northfield, with stable same-store performance</w:t>
      </w:r>
    </w:p>
    <w:p>
      <w:pPr>
        <w:pStyle w:val="Compact"/>
        <w:numPr>
          <w:ilvl w:val="0"/>
          <w:numId w:val="1010"/>
        </w:numPr>
      </w:pPr>
      <w:r>
        <w:t xml:space="preserve">Management maintains cautious optimism rather than raising expectations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1"/>
        </w:numPr>
      </w:pPr>
      <w:r>
        <w:t xml:space="preserve">Strip EBITDA fails to improve despite the easier comparison</w:t>
      </w:r>
    </w:p>
    <w:p>
      <w:pPr>
        <w:pStyle w:val="Compact"/>
        <w:numPr>
          <w:ilvl w:val="0"/>
          <w:numId w:val="1011"/>
        </w:numPr>
      </w:pPr>
      <w:r>
        <w:t xml:space="preserve">Lower-end and midweek Las Vegas weakness spreads into higher-tier properties</w:t>
      </w:r>
    </w:p>
    <w:p>
      <w:pPr>
        <w:pStyle w:val="Compact"/>
        <w:numPr>
          <w:ilvl w:val="0"/>
          <w:numId w:val="1011"/>
        </w:numPr>
      </w:pPr>
      <w:r>
        <w:t xml:space="preserve">BetMGM cuts EBITDA guidance or backs away from the 2027 target</w:t>
      </w:r>
    </w:p>
    <w:p>
      <w:pPr>
        <w:pStyle w:val="Compact"/>
        <w:numPr>
          <w:ilvl w:val="0"/>
          <w:numId w:val="1011"/>
        </w:numPr>
      </w:pPr>
      <w:r>
        <w:t xml:space="preserve">MGM Digital losses expand due to Brazil and World Cup spending</w:t>
      </w:r>
    </w:p>
    <w:p>
      <w:pPr>
        <w:pStyle w:val="Compact"/>
        <w:numPr>
          <w:ilvl w:val="0"/>
          <w:numId w:val="1011"/>
        </w:numPr>
      </w:pPr>
      <w:r>
        <w:t xml:space="preserve">Same-store regional volumes soften</w:t>
      </w:r>
    </w:p>
    <w:p>
      <w:pPr>
        <w:pStyle w:val="Compact"/>
        <w:numPr>
          <w:ilvl w:val="0"/>
          <w:numId w:val="1011"/>
        </w:numPr>
      </w:pPr>
      <w:r>
        <w:t xml:space="preserve">Buybacks are lighter than investors expect</w:t>
      </w:r>
    </w:p>
    <w:bookmarkEnd w:id="27"/>
    <w:bookmarkEnd w:id="28"/>
    <w:bookmarkStart w:id="29" w:name="questions-management-needs-to-answer"/>
    <w:p>
      <w:pPr>
        <w:pStyle w:val="Heading2"/>
      </w:pPr>
      <w:r>
        <w:t xml:space="preserve">Questions management needs to answer</w:t>
      </w:r>
    </w:p>
    <w:p>
      <w:pPr>
        <w:pStyle w:val="Compact"/>
        <w:numPr>
          <w:ilvl w:val="0"/>
          <w:numId w:val="1012"/>
        </w:numPr>
      </w:pPr>
      <w:r>
        <w:t xml:space="preserve">Excluding hold, what was underlying Las Vegas Strip revenue and EBITDAR growth?</w:t>
      </w:r>
    </w:p>
    <w:p>
      <w:pPr>
        <w:pStyle w:val="Compact"/>
        <w:numPr>
          <w:ilvl w:val="0"/>
          <w:numId w:val="1012"/>
        </w:numPr>
      </w:pPr>
      <w:r>
        <w:t xml:space="preserve">Is MGM still expecting full-year 2026 Strip EBITDA growth?</w:t>
      </w:r>
    </w:p>
    <w:p>
      <w:pPr>
        <w:pStyle w:val="Compact"/>
        <w:numPr>
          <w:ilvl w:val="0"/>
          <w:numId w:val="1012"/>
        </w:numPr>
      </w:pPr>
      <w:r>
        <w:t xml:space="preserve">How are July leisure bookings, convention room nights and room rates trending?</w:t>
      </w:r>
    </w:p>
    <w:p>
      <w:pPr>
        <w:pStyle w:val="Compact"/>
        <w:numPr>
          <w:ilvl w:val="0"/>
          <w:numId w:val="1012"/>
        </w:numPr>
      </w:pPr>
      <w:r>
        <w:t xml:space="preserve">Is the lower-end Las Vegas customer stabilizing?</w:t>
      </w:r>
    </w:p>
    <w:p>
      <w:pPr>
        <w:pStyle w:val="Compact"/>
        <w:numPr>
          <w:ilvl w:val="0"/>
          <w:numId w:val="1012"/>
        </w:numPr>
      </w:pPr>
      <w:r>
        <w:t xml:space="preserve">What portion of MGM China’s year-over-year EBITDA movement is attributable to the new branding fee?</w:t>
      </w:r>
    </w:p>
    <w:p>
      <w:pPr>
        <w:pStyle w:val="Compact"/>
        <w:numPr>
          <w:ilvl w:val="0"/>
          <w:numId w:val="1012"/>
        </w:numPr>
      </w:pPr>
      <w:r>
        <w:t xml:space="preserve">Does BetMGM still expect</w:t>
      </w:r>
      <w:r>
        <w:t xml:space="preserve"> </w:t>
      </w:r>
      <m:oMath>
        <m:r>
          <m:t>300</m:t>
        </m:r>
        <m:r>
          <m:rPr>
            <m:sty m:val="p"/>
          </m:rPr>
          <m:t>–</m:t>
        </m:r>
      </m:oMath>
      <w:r>
        <w:t xml:space="preserve">350 million of 2026 EBITDA and $500 million in 2027?</w:t>
      </w:r>
    </w:p>
    <w:p>
      <w:pPr>
        <w:pStyle w:val="Compact"/>
        <w:numPr>
          <w:ilvl w:val="0"/>
          <w:numId w:val="1012"/>
        </w:numPr>
      </w:pPr>
      <w:r>
        <w:t xml:space="preserve">How much cash does MGM expect to receive from BetMGM during 2026?</w:t>
      </w:r>
    </w:p>
    <w:p>
      <w:pPr>
        <w:pStyle w:val="Compact"/>
        <w:numPr>
          <w:ilvl w:val="0"/>
          <w:numId w:val="1012"/>
        </w:numPr>
      </w:pPr>
      <w:r>
        <w:t xml:space="preserve">Will MGM Digital’s full-year loss still narrow materially?</w:t>
      </w:r>
    </w:p>
    <w:p>
      <w:pPr>
        <w:pStyle w:val="Compact"/>
        <w:numPr>
          <w:ilvl w:val="0"/>
          <w:numId w:val="1012"/>
        </w:numPr>
      </w:pPr>
      <w:r>
        <w:t xml:space="preserve">What are same-store regional results after excluding Northfield?</w:t>
      </w:r>
    </w:p>
    <w:p>
      <w:pPr>
        <w:pStyle w:val="Compact"/>
        <w:numPr>
          <w:ilvl w:val="0"/>
          <w:numId w:val="1012"/>
        </w:numPr>
      </w:pPr>
      <w:r>
        <w:t xml:space="preserve">How much stock has MGM repurchased since March 31?</w:t>
      </w:r>
    </w:p>
    <w:bookmarkEnd w:id="29"/>
    <w:bookmarkStart w:id="3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cleanest thesis going into the report is an</w:t>
      </w:r>
      <w:r>
        <w:t xml:space="preserve"> </w:t>
      </w:r>
      <w:r>
        <w:rPr>
          <w:b/>
          <w:bCs/>
        </w:rPr>
        <w:t xml:space="preserve">easier Las Vegas comparison plus improving digital and Macau cash generation</w:t>
      </w:r>
      <w:r>
        <w:t xml:space="preserve">, supported by buybacks. The central risk is that the apparent Las Vegas recovery is more dependent on hold, conventions and promotions than on broad-based consumer strength.</w:t>
      </w:r>
    </w:p>
    <w:p>
      <w:pPr>
        <w:pStyle w:val="BodyText"/>
      </w:pPr>
      <w:r>
        <w:t xml:space="preserve">A headline EPS beat will not be sufficient on its own. The highest-quality report would combine: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Strip EBITDAR growth on normalized hold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Stable BetMGM guidance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Healthy fee-adjusted MGM China operations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Narrowing MGM Digital losses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Strong capital returns</w:t>
      </w:r>
    </w:p>
    <w:p>
      <w:pPr>
        <w:pStyle w:val="FirstParagraph"/>
      </w:pPr>
      <w:r>
        <w:t xml:space="preserve">Conversely, weak Strip EBITDA or another BetMGM guidance reduction would matter more than a modest consolidated revenue beat.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investors.mgmresorts.com/2025-07-30-MGM-RESORTS-INTERNATIONAL-REPORTS-RECORD-SECOND-QUARTER-2025-FINANCIAL-AND-OPERATING-RESULTS?utm_source=openai" TargetMode="External" /><Relationship Type="http://schemas.openxmlformats.org/officeDocument/2006/relationships/hyperlink" Id="rId18" Target="https://investors.mgmresorts.com/2026-04-14-BETMGM-Q1-2026-BUSINESS-UPDATE?utm_source=openai" TargetMode="External" /><Relationship Type="http://schemas.openxmlformats.org/officeDocument/2006/relationships/hyperlink" Id="rId9" Target="https://investors.mgmresorts.com/2026-06-26-MGM-Resorts-International-Announces-Second-Quarter-Earnings-Release-Date?utm_source=openai" TargetMode="External" /><Relationship Type="http://schemas.openxmlformats.org/officeDocument/2006/relationships/hyperlink" Id="rId20" Target="https://investors.mgmresorts.com/image/MGM_Exhibit_99-1_Q1_2026_Earning_Release.pdf?utm_source=openai" TargetMode="External" /><Relationship Type="http://schemas.openxmlformats.org/officeDocument/2006/relationships/hyperlink" Id="rId11" Target="https://www.benzinga.com/quote/MGM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investors.mgmresorts.com/2025-07-30-MGM-RESORTS-INTERNATIONAL-REPORTS-RECORD-SECOND-QUARTER-2025-FINANCIAL-AND-OPERATING-RESULTS?utm_source=openai" TargetMode="External" /><Relationship Type="http://schemas.openxmlformats.org/officeDocument/2006/relationships/hyperlink" Id="rId18" Target="https://investors.mgmresorts.com/2026-04-14-BETMGM-Q1-2026-BUSINESS-UPDATE?utm_source=openai" TargetMode="External" /><Relationship Type="http://schemas.openxmlformats.org/officeDocument/2006/relationships/hyperlink" Id="rId9" Target="https://investors.mgmresorts.com/2026-06-26-MGM-Resorts-International-Announces-Second-Quarter-Earnings-Release-Date?utm_source=openai" TargetMode="External" /><Relationship Type="http://schemas.openxmlformats.org/officeDocument/2006/relationships/hyperlink" Id="rId20" Target="https://investors.mgmresorts.com/image/MGM_Exhibit_99-1_Q1_2026_Earning_Release.pdf?utm_source=openai" TargetMode="External" /><Relationship Type="http://schemas.openxmlformats.org/officeDocument/2006/relationships/hyperlink" Id="rId11" Target="https://www.benzinga.com/quote/MGM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2026-07-28T01:05:01Z</dcterms:created>
  <dcterms:modified xsi:type="dcterms:W3CDTF">2026-07-28T01:05:01Z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