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gm-earnings-predictions--2026-07-28"/>
    <w:p>
      <w:pPr>
        <w:pStyle w:val="Heading1"/>
      </w:pPr>
      <w:r>
        <w:t xml:space="preserve">MGM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BetMGM 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~$755 million vs. cons $742 million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BetMGM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~$92 million vs. cons $86 million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BetMGM Online Sports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~$255 million vs. cons $245 million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BetMGM Net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~$3.10 billion vs. cons $3.00 billion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BetMGM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~$330 million vs. cons $325 million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cash distributed to parents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~$250 million vs. cons $225 million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(STABILIZE)</w:t>
            </w:r>
          </w:p>
        </w:tc>
        <w:tc>
          <w:tcPr/>
          <w:p>
            <w:pPr>
              <w:pStyle w:val="Compact"/>
            </w:pPr>
            <w:r>
              <w:t xml:space="preserve">A modest BetMGM revenue and EBITDA beat plus a higher FY2026 revenue outlook should be supportive, but MGM’s 50% BetMGM ownership limits direct earnings sensitivity and the July 29, 2026 consolidated MGM release will reset attention to Las Vegas Strip margins and consolidated out-period estimates; pred +0.8% vs. day-1 +1.3%.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2026-07-28T01:01:31Z</dcterms:created>
  <dcterms:modified xsi:type="dcterms:W3CDTF">2026-07-28T01:01:31Z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