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c98db71ecd883d8cb322843f385d04172c9264"/>
    <w:p>
      <w:pPr>
        <w:pStyle w:val="Heading1"/>
      </w:pPr>
      <w:r>
        <w:t xml:space="preserve">MGM Resorts (NYSE: MGM) — 2Q26 Earnings Preview</w:t>
      </w:r>
    </w:p>
    <w:p>
      <w:pPr>
        <w:pStyle w:val="BlockText"/>
      </w:pPr>
      <w:r>
        <w:rPr>
          <w:b/>
          <w:bCs/>
        </w:rPr>
        <w:t xml:space="preserve">Timing correction:</w:t>
      </w:r>
      <w:r>
        <w:t xml:space="preserve"> </w:t>
      </w:r>
      <w:r>
        <w:t xml:space="preserve">MGM Resorts is scheduled to report</w:t>
      </w:r>
      <w:r>
        <w:t xml:space="preserve"> </w:t>
      </w:r>
      <w:r>
        <w:rPr>
          <w:b/>
          <w:bCs/>
        </w:rPr>
        <w:t xml:space="preserve">2Q26 results after the market close on Wednesday, July 29, 2026</w:t>
      </w:r>
      <w:r>
        <w:t xml:space="preserve">, with its earnings call at</w:t>
      </w:r>
      <w:r>
        <w:t xml:space="preserve"> </w:t>
      </w:r>
      <w:r>
        <w:rPr>
          <w:b/>
          <w:bCs/>
        </w:rPr>
        <w:t xml:space="preserve">5:00 p.m. ET</w:t>
      </w:r>
      <w:r>
        <w:t xml:space="preserve">. The</w:t>
      </w:r>
      <w:r>
        <w:t xml:space="preserve"> </w:t>
      </w:r>
      <w:r>
        <w:rPr>
          <w:b/>
          <w:bCs/>
        </w:rPr>
        <w:t xml:space="preserve">July 28, 2026</w:t>
      </w:r>
      <w:r>
        <w:t xml:space="preserve"> </w:t>
      </w:r>
      <w:r>
        <w:t xml:space="preserve">event is the separate</w:t>
      </w:r>
      <w:r>
        <w:t xml:space="preserve"> </w:t>
      </w:r>
      <w:r>
        <w:rPr>
          <w:b/>
          <w:bCs/>
        </w:rPr>
        <w:t xml:space="preserve">BetMGM 2Q business update</w:t>
      </w:r>
      <w:r>
        <w:t xml:space="preserve">, not MGM’s consolidated earnings release. (</w:t>
      </w:r>
      <w:hyperlink r:id="rId9">
        <w:r>
          <w:rPr>
            <w:rStyle w:val="Hyperlink"/>
          </w:rPr>
          <w:t xml:space="preserve">investors.mgmresorts.com</w:t>
        </w:r>
      </w:hyperlink>
      <w:r>
        <w:t xml:space="preserve">)</w:t>
      </w:r>
    </w:p>
    <w:bookmarkStart w:id="11" w:name="X063e95340a81de2637d2c4692238c4471278318"/>
    <w:p>
      <w:pPr>
        <w:pStyle w:val="Heading2"/>
      </w:pPr>
      <w:r>
        <w:t xml:space="preserve">Investment view: the report is primarily a test of Las Vegas margin recovery</w:t>
      </w:r>
    </w:p>
    <w:p>
      <w:pPr>
        <w:pStyle w:val="FirstParagraph"/>
      </w:pPr>
      <w:r>
        <w:t xml:space="preserve">MGM enters 2Q with a more constructive top-line setup than its 1Q earnings headline implied. In 1Q, consolidated revenue rose 4% year over year to a record $4.45 billion, helped by MGM China and MGM Digital, and Las Vegas Strip revenue returned to modest growth. But consolidated Adjusted EBITDA fell 9% to $580 million as Las Vegas and regional profitability was burdened by elevated self-insurance expense and lower business-interruption proceeds. (</w:t>
      </w:r>
      <w:hyperlink r:id="rId10">
        <w:r>
          <w:rPr>
            <w:rStyle w:val="Hyperlink"/>
          </w:rPr>
          <w:t xml:space="preserve">investors.mgmresorts.com</w:t>
        </w:r>
      </w:hyperlink>
      <w:r>
        <w:t xml:space="preserve">)</w:t>
      </w:r>
    </w:p>
    <w:p>
      <w:pPr>
        <w:pStyle w:val="BodyText"/>
      </w:pPr>
      <w:r>
        <w:t xml:space="preserve">The central question for investors is therefore not simply whether revenue grows:</w:t>
      </w:r>
      <w:r>
        <w:t xml:space="preserve"> </w:t>
      </w:r>
      <w:r>
        <w:rPr>
          <w:b/>
          <w:bCs/>
        </w:rPr>
        <w:t xml:space="preserve">can MGM demonstrate that Strip EBITDAR recovers as temporary cost headwinds fade, MGM Grand room inventory returns, group/convention demand remains strong, and the company’s value-oriented promotions stabilize lower-end leisure demand?</w:t>
      </w:r>
    </w:p>
    <w:p>
      <w:pPr>
        <w:pStyle w:val="BodyText"/>
      </w:pPr>
      <w:r>
        <w:t xml:space="preserve">The stock closed at</w:t>
      </w:r>
      <w:r>
        <w:t xml:space="preserve"> </w:t>
      </w:r>
      <w:r>
        <w:rPr>
          <w:b/>
          <w:bCs/>
        </w:rPr>
        <w:t xml:space="preserve">$46.31 on July 27</w:t>
      </w:r>
      <w:r>
        <w:t xml:space="preserve">, up roughly</w:t>
      </w:r>
      <w:r>
        <w:t xml:space="preserve"> </w:t>
      </w:r>
      <w:r>
        <w:rPr>
          <w:b/>
          <w:bCs/>
        </w:rPr>
        <w:t xml:space="preserve">26% from April 1</w:t>
      </w:r>
      <w:r>
        <w:t xml:space="preserve">, but about</w:t>
      </w:r>
      <w:r>
        <w:t xml:space="preserve"> </w:t>
      </w:r>
      <w:r>
        <w:rPr>
          <w:b/>
          <w:bCs/>
        </w:rPr>
        <w:t xml:space="preserve">9% below its June 1 closing high of $50.69</w:t>
      </w:r>
      <w:r>
        <w:t xml:space="preserve">. That creates a setup in which a clean margin-recovery narrative and confident second-half commentary could matter more than a modest revenue beat.</w:t>
      </w:r>
    </w:p>
    <w:p>
      <w:r>
        <w:pict>
          <v:rect style="width:0;height:1.5pt" o:hralign="center" o:hrstd="t" o:hr="t"/>
        </w:pict>
      </w:r>
    </w:p>
    <w:bookmarkEnd w:id="11"/>
    <w:bookmarkStart w:id="17" w:name="what-matters-most"/>
    <w:p>
      <w:pPr>
        <w:pStyle w:val="Heading2"/>
      </w:pPr>
      <w:r>
        <w:t xml:space="preserve">What matters most</w:t>
      </w:r>
    </w:p>
    <w:bookmarkStart w:id="12" w:name="X00d8b7e24a7fb98b323b51a8417fdf597e78fc8"/>
    <w:p>
      <w:pPr>
        <w:pStyle w:val="Heading3"/>
      </w:pPr>
      <w:r>
        <w:t xml:space="preserve">1. Las Vegas Strip: EBITDA and forward booking commentary are the headline variables</w:t>
      </w:r>
    </w:p>
    <w:p>
      <w:pPr>
        <w:pStyle w:val="FirstParagraph"/>
      </w:pPr>
      <w:r>
        <w:t xml:space="preserve">Las Vegas is the key swing factor. In 1Q, Strip revenue was essentially flat year over year at</w:t>
      </w:r>
      <w:r>
        <w:t xml:space="preserve"> </w:t>
      </w:r>
      <m:oMath>
        <m:r>
          <m:t>2.18</m:t>
        </m:r>
        <m:r>
          <m:t>b</m:t>
        </m:r>
        <m:r>
          <m:t>i</m:t>
        </m:r>
        <m:r>
          <m:t>l</m:t>
        </m:r>
        <m:r>
          <m:t>l</m:t>
        </m:r>
        <m:r>
          <m:t>i</m:t>
        </m:r>
        <m:r>
          <m:t>o</m:t>
        </m:r>
        <m:r>
          <m:t>n</m:t>
        </m:r>
        <m:r>
          <m:rPr>
            <m:sty m:val="p"/>
          </m:rPr>
          <m:t>*</m:t>
        </m:r>
        <m:r>
          <m:rPr>
            <m:sty m:val="p"/>
          </m:rPr>
          <m:t>*</m:t>
        </m:r>
        <m:r>
          <m:rPr>
            <m:sty m:val="p"/>
          </m:rPr>
          <m:t>,</m:t>
        </m:r>
        <m:r>
          <m:t>b</m:t>
        </m:r>
        <m:r>
          <m:t>u</m:t>
        </m:r>
        <m:r>
          <m:t>t</m:t>
        </m:r>
        <m:r>
          <m:t>s</m:t>
        </m:r>
        <m:r>
          <m:t>e</m:t>
        </m:r>
        <m:r>
          <m:t>g</m:t>
        </m:r>
        <m:r>
          <m:t>m</m:t>
        </m:r>
        <m:r>
          <m:t>e</m:t>
        </m:r>
        <m:r>
          <m:t>n</m:t>
        </m:r>
        <m:r>
          <m:t>t</m:t>
        </m:r>
        <m:r>
          <m:t>A</m:t>
        </m:r>
        <m:r>
          <m:t>d</m:t>
        </m:r>
        <m:r>
          <m:t>j</m:t>
        </m:r>
        <m:r>
          <m:t>u</m:t>
        </m:r>
        <m:r>
          <m:t>s</m:t>
        </m:r>
        <m:r>
          <m:t>t</m:t>
        </m:r>
        <m:r>
          <m:t>e</m:t>
        </m:r>
        <m:r>
          <m:t>d</m:t>
        </m:r>
        <m:r>
          <m:t>E</m:t>
        </m:r>
        <m:r>
          <m:t>B</m:t>
        </m:r>
        <m:r>
          <m:t>I</m:t>
        </m:r>
        <m:r>
          <m:t>T</m:t>
        </m:r>
        <m:r>
          <m:t>D</m:t>
        </m:r>
        <m:r>
          <m:t>A</m:t>
        </m:r>
        <m:r>
          <m:t>R</m:t>
        </m:r>
        <m:r>
          <m:t>d</m:t>
        </m:r>
        <m:r>
          <m:t>e</m:t>
        </m:r>
        <m:r>
          <m:t>c</m:t>
        </m:r>
        <m:r>
          <m:t>l</m:t>
        </m:r>
        <m:r>
          <m:t>i</m:t>
        </m:r>
        <m:r>
          <m:t>n</m:t>
        </m:r>
        <m:r>
          <m:t>e</m:t>
        </m:r>
        <m:r>
          <m:t>d</m:t>
        </m:r>
        <m:r>
          <m:rPr>
            <m:sty m:val="p"/>
          </m:rPr>
          <m:t>*</m:t>
        </m:r>
        <m:r>
          <m:rPr>
            <m:sty m:val="p"/>
          </m:rPr>
          <m:t>*</m:t>
        </m:r>
        <m:r>
          <m:t>8</m:t>
        </m:r>
      </m:oMath>
      <w:r>
        <w:rPr>
          <w:b/>
          <w:bCs/>
        </w:rPr>
        <w:t xml:space="preserve">749 million</w:t>
      </w:r>
      <w:r>
        <w:t xml:space="preserve">. Management attributed most of the decline to higher self-insurance costs and lower business-interruption proceeds rather than a broad deterioration in demand. (</w:t>
      </w:r>
      <w:hyperlink r:id="rId10">
        <w:r>
          <w:rPr>
            <w:rStyle w:val="Hyperlink"/>
          </w:rPr>
          <w:t xml:space="preserve">investors.mgmresorts.com</w:t>
        </w:r>
      </w:hyperlink>
      <w:r>
        <w:t xml:space="preserve">)</w:t>
      </w:r>
    </w:p>
    <w:p>
      <w:pPr>
        <w:pStyle w:val="BodyText"/>
      </w:pPr>
      <w:r>
        <w:t xml:space="preserve">For 2Q, investors should focus on:</w:t>
      </w:r>
    </w:p>
    <w:p>
      <w:pPr>
        <w:pStyle w:val="Compact"/>
        <w:numPr>
          <w:ilvl w:val="0"/>
          <w:numId w:val="1001"/>
        </w:numPr>
      </w:pPr>
      <w:r>
        <w:rPr>
          <w:b/>
          <w:bCs/>
        </w:rPr>
        <w:t xml:space="preserve">Group and convention mix.</w:t>
      </w:r>
      <w:r>
        <w:t xml:space="preserve"> </w:t>
      </w:r>
      <w:r>
        <w:t xml:space="preserve">Management indicated that convention room-night mix should improve year over year in 2Q, supporting midweek occupancy, ADR, food and beverage, and banquet revenue.</w:t>
      </w:r>
    </w:p>
    <w:p>
      <w:pPr>
        <w:pStyle w:val="Compact"/>
        <w:numPr>
          <w:ilvl w:val="0"/>
          <w:numId w:val="1001"/>
        </w:numPr>
      </w:pPr>
      <w:r>
        <w:rPr>
          <w:b/>
          <w:bCs/>
        </w:rPr>
        <w:t xml:space="preserve">MGM Grand normalization.</w:t>
      </w:r>
      <w:r>
        <w:t xml:space="preserve"> </w:t>
      </w:r>
      <w:r>
        <w:t xml:space="preserve">The prior-year quarter included disruption from the MGM Grand room refresh. Restored inventory should make the year-over-year comparison easier.</w:t>
      </w:r>
    </w:p>
    <w:p>
      <w:pPr>
        <w:pStyle w:val="Compact"/>
        <w:numPr>
          <w:ilvl w:val="0"/>
          <w:numId w:val="1001"/>
        </w:numPr>
      </w:pPr>
      <w:r>
        <w:rPr>
          <w:b/>
          <w:bCs/>
        </w:rPr>
        <w:t xml:space="preserve">Luxury versus value-tier demand.</w:t>
      </w:r>
      <w:r>
        <w:t xml:space="preserve"> </w:t>
      </w:r>
      <w:r>
        <w:t xml:space="preserve">MGM has characterized luxury demand as healthy, while midweek demand at Luxor and Excalibur has been softer. The all-inclusive offering at those properties is meant to improve value perception and bring in incremental guests.</w:t>
      </w:r>
    </w:p>
    <w:p>
      <w:pPr>
        <w:pStyle w:val="Compact"/>
        <w:numPr>
          <w:ilvl w:val="0"/>
          <w:numId w:val="1001"/>
        </w:numPr>
      </w:pPr>
      <w:r>
        <w:rPr>
          <w:b/>
          <w:bCs/>
        </w:rPr>
        <w:t xml:space="preserve">Margin conversion.</w:t>
      </w:r>
      <w:r>
        <w:t xml:space="preserve"> </w:t>
      </w:r>
      <w:r>
        <w:t xml:space="preserve">A modest top-line increase will not be enough if labor, insurance, promotional, or other property-level costs remain elevated.</w:t>
      </w:r>
    </w:p>
    <w:p>
      <w:pPr>
        <w:pStyle w:val="FirstParagraph"/>
      </w:pPr>
      <w:r>
        <w:rPr>
          <w:b/>
          <w:bCs/>
        </w:rPr>
        <w:t xml:space="preserve">What would be encouraging:</w:t>
      </w:r>
      <w:r>
        <w:t xml:space="preserve"> </w:t>
      </w:r>
      <w:r>
        <w:t xml:space="preserve">Strip EBITDAR growth or a clear sequential improvement in margin, coupled with confirmation that convention strength is offsetting softer lower-end leisure demand.</w:t>
      </w:r>
    </w:p>
    <w:p>
      <w:pPr>
        <w:pStyle w:val="BodyText"/>
      </w:pPr>
      <w:r>
        <w:rPr>
          <w:b/>
          <w:bCs/>
        </w:rPr>
        <w:t xml:space="preserve">What would disappoint:</w:t>
      </w:r>
      <w:r>
        <w:t xml:space="preserve"> </w:t>
      </w:r>
      <w:r>
        <w:t xml:space="preserve">Evidence that midweek/value demand is worsening, that promotions are materially dilutive, or that insurance and other expense pressures are persisting beyond the 1Q reset.</w:t>
      </w:r>
    </w:p>
    <w:p>
      <w:r>
        <w:pict>
          <v:rect style="width:0;height:1.5pt" o:hralign="center" o:hrstd="t" o:hr="t"/>
        </w:pict>
      </w:r>
    </w:p>
    <w:bookmarkEnd w:id="12"/>
    <w:bookmarkStart w:id="13" w:name="Xbe979bd6a03b4712715c439376bbc18895d3cfe"/>
    <w:p>
      <w:pPr>
        <w:pStyle w:val="Heading3"/>
      </w:pPr>
      <w:r>
        <w:t xml:space="preserve">2. Macau: separate operating momentum from the accounting impact of the new brand fee</w:t>
      </w:r>
    </w:p>
    <w:p>
      <w:pPr>
        <w:pStyle w:val="FirstParagraph"/>
      </w:pPr>
      <w:r>
        <w:t xml:space="preserve">MGM China remains a major growth driver, but investors need to distinguish property performance from the revised intercompany brand-fee structure.</w:t>
      </w:r>
    </w:p>
    <w:p>
      <w:pPr>
        <w:pStyle w:val="BodyText"/>
      </w:pPr>
      <w:r>
        <w:t xml:space="preserve">In 1Q, MGM China revenue increased</w:t>
      </w:r>
      <w:r>
        <w:t xml:space="preserve"> </w:t>
      </w:r>
      <w:r>
        <w:rPr>
          <w:b/>
          <w:bCs/>
        </w:rPr>
        <w:t xml:space="preserve">9%</w:t>
      </w:r>
      <w:r>
        <w:t xml:space="preserve"> </w:t>
      </w:r>
      <w:r>
        <w:t xml:space="preserve">to</w:t>
      </w:r>
      <w:r>
        <w:t xml:space="preserve"> </w:t>
      </w:r>
      <m:oMath>
        <m:r>
          <m:t>1.12</m:t>
        </m:r>
        <m:r>
          <m:t>b</m:t>
        </m:r>
        <m:r>
          <m:t>i</m:t>
        </m:r>
        <m:r>
          <m:t>l</m:t>
        </m:r>
        <m:r>
          <m:t>l</m:t>
        </m:r>
        <m:r>
          <m:t>i</m:t>
        </m:r>
        <m:r>
          <m:t>o</m:t>
        </m:r>
        <m:r>
          <m:t>n</m:t>
        </m:r>
        <m:r>
          <m:rPr>
            <m:sty m:val="p"/>
          </m:rPr>
          <m:t>*</m:t>
        </m:r>
        <m:r>
          <m:rPr>
            <m:sty m:val="p"/>
          </m:rPr>
          <m:t>*</m:t>
        </m:r>
        <m:r>
          <m:rPr>
            <m:sty m:val="p"/>
          </m:rPr>
          <m:t>,</m:t>
        </m:r>
        <m:r>
          <m:t>w</m:t>
        </m:r>
        <m:r>
          <m:t>h</m:t>
        </m:r>
        <m:r>
          <m:t>i</m:t>
        </m:r>
        <m:r>
          <m:t>l</m:t>
        </m:r>
        <m:r>
          <m:t>e</m:t>
        </m:r>
        <m:r>
          <m:t>s</m:t>
        </m:r>
        <m:r>
          <m:t>e</m:t>
        </m:r>
        <m:r>
          <m:t>g</m:t>
        </m:r>
        <m:r>
          <m:t>m</m:t>
        </m:r>
        <m:r>
          <m:t>e</m:t>
        </m:r>
        <m:r>
          <m:t>n</m:t>
        </m:r>
        <m:r>
          <m:t>t</m:t>
        </m:r>
        <m:r>
          <m:t>A</m:t>
        </m:r>
        <m:r>
          <m:t>d</m:t>
        </m:r>
        <m:r>
          <m:t>j</m:t>
        </m:r>
        <m:r>
          <m:t>u</m:t>
        </m:r>
        <m:r>
          <m:t>s</m:t>
        </m:r>
        <m:r>
          <m:t>t</m:t>
        </m:r>
        <m:r>
          <m:t>e</m:t>
        </m:r>
        <m:r>
          <m:t>d</m:t>
        </m:r>
        <m:r>
          <m:t>E</m:t>
        </m:r>
        <m:r>
          <m:t>B</m:t>
        </m:r>
        <m:r>
          <m:t>I</m:t>
        </m:r>
        <m:r>
          <m:t>T</m:t>
        </m:r>
        <m:r>
          <m:t>D</m:t>
        </m:r>
        <m:r>
          <m:t>A</m:t>
        </m:r>
        <m:r>
          <m:t>R</m:t>
        </m:r>
        <m:r>
          <m:t>d</m:t>
        </m:r>
        <m:r>
          <m:t>e</m:t>
        </m:r>
        <m:r>
          <m:t>c</m:t>
        </m:r>
        <m:r>
          <m:t>l</m:t>
        </m:r>
        <m:r>
          <m:t>i</m:t>
        </m:r>
        <m:r>
          <m:t>n</m:t>
        </m:r>
        <m:r>
          <m:t>e</m:t>
        </m:r>
        <m:r>
          <m:t>d</m:t>
        </m:r>
        <m:r>
          <m:rPr>
            <m:sty m:val="p"/>
          </m:rPr>
          <m:t>*</m:t>
        </m:r>
        <m:r>
          <m:rPr>
            <m:sty m:val="p"/>
          </m:rPr>
          <m:t>*</m:t>
        </m:r>
        <m:r>
          <m:t>4</m:t>
        </m:r>
      </m:oMath>
      <w:r>
        <w:rPr>
          <w:b/>
          <w:bCs/>
        </w:rPr>
        <w:t xml:space="preserve">273 million</w:t>
      </w:r>
      <w:r>
        <w:t xml:space="preserve">. The key reason was a</w:t>
      </w:r>
      <w:r>
        <w:t xml:space="preserve"> </w:t>
      </w:r>
      <w:r>
        <w:rPr>
          <w:b/>
          <w:bCs/>
        </w:rPr>
        <w:t xml:space="preserve">$23 million year-over-year increase</w:t>
      </w:r>
      <w:r>
        <w:t xml:space="preserve"> </w:t>
      </w:r>
      <w:r>
        <w:t xml:space="preserve">in intercompany branding-license expense under the new agreement; the expense reduces reported segment EBITDAR but increases cash flow to MGM Resorts at the parent level. (</w:t>
      </w:r>
      <w:hyperlink r:id="rId10">
        <w:r>
          <w:rPr>
            <w:rStyle w:val="Hyperlink"/>
          </w:rPr>
          <w:t xml:space="preserve">investors.mgmresorts.com</w:t>
        </w:r>
      </w:hyperlink>
      <w:r>
        <w:t xml:space="preserve">)</w:t>
      </w:r>
    </w:p>
    <w:p>
      <w:pPr>
        <w:pStyle w:val="BodyText"/>
      </w:pPr>
      <w:r>
        <w:t xml:space="preserve">The 2Q checklist:</w:t>
      </w:r>
    </w:p>
    <w:p>
      <w:pPr>
        <w:pStyle w:val="Compact"/>
        <w:numPr>
          <w:ilvl w:val="0"/>
          <w:numId w:val="1002"/>
        </w:numPr>
      </w:pPr>
      <w:r>
        <w:rPr>
          <w:b/>
          <w:bCs/>
        </w:rPr>
        <w:t xml:space="preserve">Macau market share</w:t>
      </w:r>
      <w:r>
        <w:t xml:space="preserve">, especially whether MGM sustains the stronger exit rate cited after 1Q.</w:t>
      </w:r>
    </w:p>
    <w:p>
      <w:pPr>
        <w:pStyle w:val="Compact"/>
        <w:numPr>
          <w:ilvl w:val="0"/>
          <w:numId w:val="1002"/>
        </w:numPr>
      </w:pPr>
      <w:r>
        <w:rPr>
          <w:b/>
          <w:bCs/>
        </w:rPr>
        <w:t xml:space="preserve">Premium-mass and premium-gaming demand</w:t>
      </w:r>
      <w:r>
        <w:t xml:space="preserve">, where MGM continues to invest in refreshed gaming and suite product.</w:t>
      </w:r>
    </w:p>
    <w:p>
      <w:pPr>
        <w:pStyle w:val="Compact"/>
        <w:numPr>
          <w:ilvl w:val="0"/>
          <w:numId w:val="1002"/>
        </w:numPr>
      </w:pPr>
      <w:r>
        <w:rPr>
          <w:b/>
          <w:bCs/>
        </w:rPr>
        <w:t xml:space="preserve">Underlying margin stability before the brand fee.</w:t>
      </w:r>
    </w:p>
    <w:p>
      <w:pPr>
        <w:pStyle w:val="Compact"/>
        <w:numPr>
          <w:ilvl w:val="0"/>
          <w:numId w:val="1002"/>
        </w:numPr>
      </w:pPr>
      <w:r>
        <w:rPr>
          <w:b/>
          <w:bCs/>
        </w:rPr>
        <w:t xml:space="preserve">Capital-spending requirements</w:t>
      </w:r>
      <w:r>
        <w:t xml:space="preserve"> </w:t>
      </w:r>
      <w:r>
        <w:t xml:space="preserve">for Macau renovations versus the return on those investments.</w:t>
      </w:r>
    </w:p>
    <w:p>
      <w:pPr>
        <w:pStyle w:val="FirstParagraph"/>
      </w:pPr>
      <w:r>
        <w:t xml:space="preserve">The clean read-through is: strong share and revenue progression with stable underlying property margins would validate MGM China as a durable earnings contributor, even if reported segment EBITDAR growth looks restrained by the fee.</w:t>
      </w:r>
    </w:p>
    <w:p>
      <w:r>
        <w:pict>
          <v:rect style="width:0;height:1.5pt" o:hralign="center" o:hrstd="t" o:hr="t"/>
        </w:pict>
      </w:r>
    </w:p>
    <w:bookmarkEnd w:id="13"/>
    <w:bookmarkStart w:id="15" w:name="X7e190d81758b5eaf1102c035a471a742968fc18"/>
    <w:p>
      <w:pPr>
        <w:pStyle w:val="Heading3"/>
      </w:pPr>
      <w:r>
        <w:t xml:space="preserve">3. Digital: BetMGM’s July 28 update is an important near-term input</w:t>
      </w:r>
    </w:p>
    <w:p>
      <w:pPr>
        <w:pStyle w:val="FirstParagraph"/>
      </w:pPr>
      <w:r>
        <w:t xml:space="preserve">BetMGM releases its standalone 2Q business update on</w:t>
      </w:r>
      <w:r>
        <w:t xml:space="preserve"> </w:t>
      </w:r>
      <w:r>
        <w:rPr>
          <w:b/>
          <w:bCs/>
        </w:rPr>
        <w:t xml:space="preserve">July 28</w:t>
      </w:r>
      <w:r>
        <w:t xml:space="preserve">, one day before MGM’s report. That update should establish the current trajectory for MGM’s 50%-owned North American online-gaming venture. (</w:t>
      </w:r>
      <w:hyperlink r:id="rId14">
        <w:r>
          <w:rPr>
            <w:rStyle w:val="Hyperlink"/>
          </w:rPr>
          <w:t xml:space="preserve">investors.mgmresorts.com</w:t>
        </w:r>
      </w:hyperlink>
      <w:r>
        <w:t xml:space="preserve">)</w:t>
      </w:r>
    </w:p>
    <w:p>
      <w:pPr>
        <w:pStyle w:val="BodyText"/>
      </w:pPr>
      <w:r>
        <w:t xml:space="preserve">In 1Q, BetMGM’s contribution to MGM’s income from unconsolidated affiliates turned positive at</w:t>
      </w:r>
      <w:r>
        <w:t xml:space="preserve"> </w:t>
      </w:r>
      <m:oMath>
        <m:r>
          <m:t>7.4</m:t>
        </m:r>
        <m:r>
          <m:t>m</m:t>
        </m:r>
        <m:r>
          <m:t>i</m:t>
        </m:r>
        <m:r>
          <m:t>l</m:t>
        </m:r>
        <m:r>
          <m:t>l</m:t>
        </m:r>
        <m:r>
          <m:t>i</m:t>
        </m:r>
        <m:r>
          <m:t>o</m:t>
        </m:r>
        <m:r>
          <m:t>n</m:t>
        </m:r>
        <m:r>
          <m:rPr>
            <m:sty m:val="p"/>
          </m:rPr>
          <m:t>*</m:t>
        </m:r>
        <m:r>
          <m:rPr>
            <m:sty m:val="p"/>
          </m:rPr>
          <m:t>*</m:t>
        </m:r>
        <m:r>
          <m:rPr>
            <m:sty m:val="p"/>
          </m:rPr>
          <m:t>,</m:t>
        </m:r>
        <m:r>
          <m:t>v</m:t>
        </m:r>
        <m:r>
          <m:t>e</m:t>
        </m:r>
        <m:r>
          <m:t>r</m:t>
        </m:r>
        <m:r>
          <m:t>s</m:t>
        </m:r>
        <m:r>
          <m:t>u</m:t>
        </m:r>
        <m:r>
          <m:t>s</m:t>
        </m:r>
        <m:r>
          <m:t>a</m:t>
        </m:r>
        <m:r>
          <m:rPr>
            <m:sty m:val="p"/>
          </m:rPr>
          <m:t>*</m:t>
        </m:r>
        <m:r>
          <m:rPr>
            <m:sty m:val="p"/>
          </m:rPr>
          <m:t>*</m:t>
        </m:r>
      </m:oMath>
      <w:r>
        <w:rPr>
          <w:b/>
          <w:bCs/>
        </w:rPr>
        <w:t xml:space="preserve">15.2 million loss</w:t>
      </w:r>
      <w:r>
        <w:t xml:space="preserve"> </w:t>
      </w:r>
      <w:r>
        <w:t xml:space="preserve">a year earlier. MGM also reported that the venture grew net revenue and Adjusted EBITDA year over year. (</w:t>
      </w:r>
      <w:hyperlink r:id="rId10">
        <w:r>
          <w:rPr>
            <w:rStyle w:val="Hyperlink"/>
          </w:rPr>
          <w:t xml:space="preserve">investors.mgmresorts.com</w:t>
        </w:r>
      </w:hyperlink>
      <w:r>
        <w:t xml:space="preserve">)</w:t>
      </w:r>
    </w:p>
    <w:p>
      <w:pPr>
        <w:pStyle w:val="BodyText"/>
      </w:pPr>
      <w:r>
        <w:t xml:space="preserve">Key items to watch from BetMGM:</w:t>
      </w:r>
    </w:p>
    <w:p>
      <w:pPr>
        <w:pStyle w:val="Compact"/>
        <w:numPr>
          <w:ilvl w:val="0"/>
          <w:numId w:val="1003"/>
        </w:numPr>
      </w:pPr>
      <w:r>
        <w:t xml:space="preserve">Net-revenue growth and Adjusted EBITDA trajectory.</w:t>
      </w:r>
    </w:p>
    <w:p>
      <w:pPr>
        <w:pStyle w:val="Compact"/>
        <w:numPr>
          <w:ilvl w:val="0"/>
          <w:numId w:val="1003"/>
        </w:numPr>
      </w:pPr>
      <w:r>
        <w:t xml:space="preserve">The balance between iGaming-led growth and sports-betting promotional spend.</w:t>
      </w:r>
    </w:p>
    <w:p>
      <w:pPr>
        <w:pStyle w:val="Compact"/>
        <w:numPr>
          <w:ilvl w:val="0"/>
          <w:numId w:val="1003"/>
        </w:numPr>
      </w:pPr>
      <w:r>
        <w:t xml:space="preserve">Any commentary on World Cup betting activity, recognizing that the event may be strong for engagement but does not automatically translate into proportional profitability.</w:t>
      </w:r>
    </w:p>
    <w:p>
      <w:pPr>
        <w:pStyle w:val="Compact"/>
        <w:numPr>
          <w:ilvl w:val="0"/>
          <w:numId w:val="1003"/>
        </w:numPr>
      </w:pPr>
      <w:r>
        <w:t xml:space="preserve">The timing and magnitude of potential distributions to the owners.</w:t>
      </w:r>
    </w:p>
    <w:p>
      <w:pPr>
        <w:pStyle w:val="FirstParagraph"/>
      </w:pPr>
      <w:r>
        <w:t xml:space="preserve">Separately, MGM Digital—principally LeoVegas and other international operations—was a clear bright spot in 1Q: revenue grew</w:t>
      </w:r>
      <w:r>
        <w:t xml:space="preserve"> </w:t>
      </w:r>
      <w:r>
        <w:rPr>
          <w:b/>
          <w:bCs/>
        </w:rPr>
        <w:t xml:space="preserve">43%</w:t>
      </w:r>
      <w:r>
        <w:t xml:space="preserve"> </w:t>
      </w:r>
      <w:r>
        <w:t xml:space="preserve">year over year to</w:t>
      </w:r>
      <w:r>
        <w:t xml:space="preserve"> </w:t>
      </w:r>
      <m:oMath>
        <m:r>
          <m:t>183</m:t>
        </m:r>
        <m:r>
          <m:t>m</m:t>
        </m:r>
        <m:r>
          <m:t>i</m:t>
        </m:r>
        <m:r>
          <m:t>l</m:t>
        </m:r>
        <m:r>
          <m:t>l</m:t>
        </m:r>
        <m:r>
          <m:t>i</m:t>
        </m:r>
        <m:r>
          <m:t>o</m:t>
        </m:r>
        <m:r>
          <m:t>n</m:t>
        </m:r>
        <m:r>
          <m:rPr>
            <m:sty m:val="p"/>
          </m:rPr>
          <m:t>*</m:t>
        </m:r>
        <m:r>
          <m:rPr>
            <m:sty m:val="p"/>
          </m:rPr>
          <m:t>*</m:t>
        </m:r>
        <m:r>
          <m:rPr>
            <m:sty m:val="p"/>
          </m:rPr>
          <m:t>,</m:t>
        </m:r>
        <m:r>
          <m:t>w</m:t>
        </m:r>
        <m:r>
          <m:t>h</m:t>
        </m:r>
        <m:r>
          <m:t>i</m:t>
        </m:r>
        <m:r>
          <m:t>l</m:t>
        </m:r>
        <m:r>
          <m:t>e</m:t>
        </m:r>
        <m:r>
          <m:t>t</m:t>
        </m:r>
        <m:r>
          <m:t>h</m:t>
        </m:r>
        <m:r>
          <m:t>e</m:t>
        </m:r>
        <m:r>
          <m:t>A</m:t>
        </m:r>
        <m:r>
          <m:t>d</m:t>
        </m:r>
        <m:r>
          <m:t>j</m:t>
        </m:r>
        <m:r>
          <m:t>u</m:t>
        </m:r>
        <m:r>
          <m:t>s</m:t>
        </m:r>
        <m:r>
          <m:t>t</m:t>
        </m:r>
        <m:r>
          <m:t>e</m:t>
        </m:r>
        <m:r>
          <m:t>d</m:t>
        </m:r>
        <m:r>
          <m:t>E</m:t>
        </m:r>
        <m:r>
          <m:t>B</m:t>
        </m:r>
        <m:r>
          <m:t>I</m:t>
        </m:r>
        <m:r>
          <m:t>T</m:t>
        </m:r>
        <m:r>
          <m:t>D</m:t>
        </m:r>
        <m:r>
          <m:t>A</m:t>
        </m:r>
        <m:r>
          <m:t>R</m:t>
        </m:r>
        <m:r>
          <m:t>l</m:t>
        </m:r>
        <m:r>
          <m:t>o</m:t>
        </m:r>
        <m:r>
          <m:t>s</m:t>
        </m:r>
        <m:r>
          <m:t>s</m:t>
        </m:r>
        <m:r>
          <m:t>n</m:t>
        </m:r>
        <m:r>
          <m:t>a</m:t>
        </m:r>
        <m:r>
          <m:t>r</m:t>
        </m:r>
        <m:r>
          <m:t>r</m:t>
        </m:r>
        <m:r>
          <m:t>o</m:t>
        </m:r>
        <m:r>
          <m:t>w</m:t>
        </m:r>
        <m:r>
          <m:t>e</m:t>
        </m:r>
        <m:r>
          <m:t>d</m:t>
        </m:r>
        <m:r>
          <m:t>t</m:t>
        </m:r>
        <m:r>
          <m:t>o</m:t>
        </m:r>
        <m:r>
          <m:rPr>
            <m:sty m:val="p"/>
          </m:rPr>
          <m:t>*</m:t>
        </m:r>
        <m:r>
          <m:rPr>
            <m:sty m:val="p"/>
          </m:rPr>
          <m:t>*</m:t>
        </m:r>
      </m:oMath>
      <w:r>
        <w:rPr>
          <w:b/>
          <w:bCs/>
        </w:rPr>
        <w:t xml:space="preserve">26 million</w:t>
      </w:r>
      <w:r>
        <w:t xml:space="preserve"> </w:t>
      </w:r>
      <w:r>
        <w:t xml:space="preserve">from</w:t>
      </w:r>
      <w:r>
        <w:t xml:space="preserve"> </w:t>
      </w:r>
      <w:r>
        <w:rPr>
          <w:b/>
          <w:bCs/>
        </w:rPr>
        <w:t xml:space="preserve">$34 million</w:t>
      </w:r>
      <w:r>
        <w:t xml:space="preserve">. (</w:t>
      </w:r>
      <w:hyperlink r:id="rId10">
        <w:r>
          <w:rPr>
            <w:rStyle w:val="Hyperlink"/>
          </w:rPr>
          <w:t xml:space="preserve">investors.mgmresorts.com</w:t>
        </w:r>
      </w:hyperlink>
      <w:r>
        <w:t xml:space="preserve">)</w:t>
      </w:r>
    </w:p>
    <w:p>
      <w:pPr>
        <w:pStyle w:val="BodyText"/>
      </w:pPr>
      <w:r>
        <w:t xml:space="preserve">For 2Q, investors should look for continued revenue growth and evidence that the segment is progressing toward the company’s stated path to substantially lower losses, rather than simply adding revenue through elevated investment.</w:t>
      </w:r>
    </w:p>
    <w:p>
      <w:r>
        <w:pict>
          <v:rect style="width:0;height:1.5pt" o:hralign="center" o:hrstd="t" o:hr="t"/>
        </w:pict>
      </w:r>
    </w:p>
    <w:bookmarkEnd w:id="15"/>
    <w:bookmarkStart w:id="16" w:name="Xec3ec7b2e63553a30b34978ae3111c21507f402"/>
    <w:p>
      <w:pPr>
        <w:pStyle w:val="Heading3"/>
      </w:pPr>
      <w:r>
        <w:t xml:space="preserve">4. Capital allocation could be a meaningful upside lever</w:t>
      </w:r>
    </w:p>
    <w:p>
      <w:pPr>
        <w:pStyle w:val="FirstParagraph"/>
      </w:pPr>
      <w:r>
        <w:t xml:space="preserve">MGM completed the sale of Northfield Park’s operations for</w:t>
      </w:r>
      <w:r>
        <w:t xml:space="preserve"> </w:t>
      </w:r>
      <m:oMath>
        <m:r>
          <m:t>546</m:t>
        </m:r>
        <m:r>
          <m:t>m</m:t>
        </m:r>
        <m:r>
          <m:t>i</m:t>
        </m:r>
        <m:r>
          <m:t>l</m:t>
        </m:r>
        <m:r>
          <m:t>l</m:t>
        </m:r>
        <m:r>
          <m:t>i</m:t>
        </m:r>
        <m:r>
          <m:t>o</m:t>
        </m:r>
        <m:r>
          <m:t>n</m:t>
        </m:r>
        <m:r>
          <m:rPr>
            <m:sty m:val="p"/>
          </m:rPr>
          <m:t>*</m:t>
        </m:r>
        <m:r>
          <m:rPr>
            <m:sty m:val="p"/>
          </m:rPr>
          <m:t>*</m:t>
        </m:r>
        <m:r>
          <m:t>i</m:t>
        </m:r>
        <m:r>
          <m:t>n</m:t>
        </m:r>
        <m:r>
          <m:t>A</m:t>
        </m:r>
        <m:r>
          <m:t>p</m:t>
        </m:r>
        <m:r>
          <m:t>r</m:t>
        </m:r>
        <m:r>
          <m:t>i</m:t>
        </m:r>
        <m:r>
          <m:t>l</m:t>
        </m:r>
        <m:r>
          <m:rPr>
            <m:sty m:val="p"/>
          </m:rPr>
          <m:t>.</m:t>
        </m:r>
        <m:r>
          <m:t>I</m:t>
        </m:r>
        <m:r>
          <m:t>n</m:t>
        </m:r>
        <m:r>
          <m:t>1</m:t>
        </m:r>
        <m:r>
          <m:t>Q</m:t>
        </m:r>
        <m:r>
          <m:rPr>
            <m:sty m:val="p"/>
          </m:rPr>
          <m:t>,</m:t>
        </m:r>
        <m:r>
          <m:t>M</m:t>
        </m:r>
        <m:r>
          <m:t>G</m:t>
        </m:r>
        <m:r>
          <m:t>M</m:t>
        </m:r>
        <m:r>
          <m:t>r</m:t>
        </m:r>
        <m:r>
          <m:t>e</m:t>
        </m:r>
        <m:r>
          <m:t>p</m:t>
        </m:r>
        <m:r>
          <m:t>u</m:t>
        </m:r>
        <m:r>
          <m:t>r</m:t>
        </m:r>
        <m:r>
          <m:t>c</m:t>
        </m:r>
        <m:r>
          <m:t>h</m:t>
        </m:r>
        <m:r>
          <m:t>a</m:t>
        </m:r>
        <m:r>
          <m:t>s</m:t>
        </m:r>
        <m:r>
          <m:t>e</m:t>
        </m:r>
        <m:r>
          <m:t>d</m:t>
        </m:r>
        <m:r>
          <m:t>a</m:t>
        </m:r>
        <m:r>
          <m:t>p</m:t>
        </m:r>
        <m:r>
          <m:t>p</m:t>
        </m:r>
        <m:r>
          <m:t>r</m:t>
        </m:r>
        <m:r>
          <m:t>o</m:t>
        </m:r>
        <m:r>
          <m:t>x</m:t>
        </m:r>
        <m:r>
          <m:t>i</m:t>
        </m:r>
        <m:r>
          <m:t>m</m:t>
        </m:r>
        <m:r>
          <m:t>a</m:t>
        </m:r>
        <m:r>
          <m:t>t</m:t>
        </m:r>
        <m:r>
          <m:t>e</m:t>
        </m:r>
        <m:r>
          <m:t>l</m:t>
        </m:r>
        <m:r>
          <m:t>y</m:t>
        </m:r>
        <m:r>
          <m:rPr>
            <m:sty m:val="p"/>
          </m:rPr>
          <m:t>*</m:t>
        </m:r>
        <m:r>
          <m:rPr>
            <m:sty m:val="p"/>
          </m:rPr>
          <m:t>*</m:t>
        </m:r>
      </m:oMath>
      <w:r>
        <w:rPr>
          <w:b/>
          <w:bCs/>
        </w:rPr>
        <w:t xml:space="preserve">90 million</w:t>
      </w:r>
      <w:r>
        <w:t xml:space="preserve"> </w:t>
      </w:r>
      <w:r>
        <w:t xml:space="preserve">of stock and had roughly</w:t>
      </w:r>
      <w:r>
        <w:t xml:space="preserve"> </w:t>
      </w:r>
      <w:r>
        <w:rPr>
          <w:b/>
          <w:bCs/>
        </w:rPr>
        <w:t xml:space="preserve">$1.5 billion</w:t>
      </w:r>
      <w:r>
        <w:t xml:space="preserve"> </w:t>
      </w:r>
      <w:r>
        <w:t xml:space="preserve">remaining under its April 2025 authorization as of March 31. (</w:t>
      </w:r>
      <w:hyperlink r:id="rId10">
        <w:r>
          <w:rPr>
            <w:rStyle w:val="Hyperlink"/>
          </w:rPr>
          <w:t xml:space="preserve">investors.mgmresorts.com</w:t>
        </w:r>
      </w:hyperlink>
      <w:r>
        <w:t xml:space="preserve">)</w:t>
      </w:r>
    </w:p>
    <w:p>
      <w:pPr>
        <w:pStyle w:val="BodyText"/>
      </w:pPr>
      <w:r>
        <w:t xml:space="preserve">This makes capital allocation a relevant earnings-call topic:</w:t>
      </w:r>
    </w:p>
    <w:p>
      <w:pPr>
        <w:pStyle w:val="Compact"/>
        <w:numPr>
          <w:ilvl w:val="0"/>
          <w:numId w:val="1004"/>
        </w:numPr>
      </w:pPr>
      <w:r>
        <w:t xml:space="preserve">Has the company accelerated buybacks following the Northfield proceeds?</w:t>
      </w:r>
    </w:p>
    <w:p>
      <w:pPr>
        <w:pStyle w:val="Compact"/>
        <w:numPr>
          <w:ilvl w:val="0"/>
          <w:numId w:val="1004"/>
        </w:numPr>
      </w:pPr>
      <w:r>
        <w:t xml:space="preserve">Is management prioritizing repurchases over incremental asset monetizations or acquisitions?</w:t>
      </w:r>
    </w:p>
    <w:p>
      <w:pPr>
        <w:pStyle w:val="Compact"/>
        <w:numPr>
          <w:ilvl w:val="0"/>
          <w:numId w:val="1004"/>
        </w:numPr>
      </w:pPr>
      <w:r>
        <w:t xml:space="preserve">Are Macau, digital, Japan, and Dubai investments staying within prior funding expectations?</w:t>
      </w:r>
    </w:p>
    <w:p>
      <w:pPr>
        <w:pStyle w:val="Compact"/>
        <w:numPr>
          <w:ilvl w:val="0"/>
          <w:numId w:val="1004"/>
        </w:numPr>
      </w:pPr>
      <w:r>
        <w:t xml:space="preserve">Does MGM view the current share price as disconnected from the intrinsic value of its real-estate-light operating portfolio and digital optionality?</w:t>
      </w:r>
    </w:p>
    <w:p>
      <w:pPr>
        <w:pStyle w:val="FirstParagraph"/>
      </w:pPr>
      <w:r>
        <w:t xml:space="preserve">A larger-than-expected repurchase cadence would likely be viewed favorably, provided it does not undermine balance-sheet flexibility for Japan.</w:t>
      </w:r>
    </w:p>
    <w:p>
      <w:r>
        <w:pict>
          <v:rect style="width:0;height:1.5pt" o:hralign="center" o:hrstd="t" o:hr="t"/>
        </w:pict>
      </w:r>
    </w:p>
    <w:bookmarkEnd w:id="16"/>
    <w:bookmarkEnd w:id="17"/>
    <w:bookmarkStart w:id="18" w:name="the-2q-scoreboard"/>
    <w:p>
      <w:pPr>
        <w:pStyle w:val="Heading2"/>
      </w:pPr>
      <w:r>
        <w:t xml:space="preserve">The 2Q scoreboard</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Area</w:t>
            </w:r>
          </w:p>
        </w:tc>
        <w:tc>
          <w:tcPr/>
          <w:p>
            <w:pPr>
              <w:pStyle w:val="Compact"/>
            </w:pPr>
            <w:r>
              <w:t xml:space="preserve">Bullish outcome</w:t>
            </w:r>
          </w:p>
        </w:tc>
        <w:tc>
          <w:tcPr/>
          <w:p>
            <w:pPr>
              <w:pStyle w:val="Compact"/>
            </w:pPr>
            <w:r>
              <w:t xml:space="preserve">Bearish outcome</w:t>
            </w:r>
          </w:p>
        </w:tc>
      </w:tr>
      <w:tr>
        <w:tc>
          <w:tcPr/>
          <w:p>
            <w:pPr>
              <w:pStyle w:val="Compact"/>
            </w:pPr>
            <w:r>
              <w:rPr>
                <w:b/>
                <w:bCs/>
              </w:rPr>
              <w:t xml:space="preserve">Las Vegas Strip</w:t>
            </w:r>
          </w:p>
        </w:tc>
        <w:tc>
          <w:tcPr/>
          <w:p>
            <w:pPr>
              <w:pStyle w:val="Compact"/>
            </w:pPr>
            <w:r>
              <w:t xml:space="preserve">Revenue growth converts to EBITDAR growth; group offsets leisure softness</w:t>
            </w:r>
          </w:p>
        </w:tc>
        <w:tc>
          <w:tcPr/>
          <w:p>
            <w:pPr>
              <w:pStyle w:val="Compact"/>
            </w:pPr>
            <w:r>
              <w:t xml:space="preserve">Midweek/value weakness broadens; promotions and expenses prevent margin recovery</w:t>
            </w:r>
          </w:p>
        </w:tc>
      </w:tr>
      <w:tr>
        <w:tc>
          <w:tcPr/>
          <w:p>
            <w:pPr>
              <w:pStyle w:val="Compact"/>
            </w:pPr>
            <w:r>
              <w:rPr>
                <w:b/>
                <w:bCs/>
              </w:rPr>
              <w:t xml:space="preserve">Regional casinos</w:t>
            </w:r>
          </w:p>
        </w:tc>
        <w:tc>
          <w:tcPr/>
          <w:p>
            <w:pPr>
              <w:pStyle w:val="Compact"/>
            </w:pPr>
            <w:r>
              <w:t xml:space="preserve">Stable same-store demand and normalized cost base</w:t>
            </w:r>
          </w:p>
        </w:tc>
        <w:tc>
          <w:tcPr/>
          <w:p>
            <w:pPr>
              <w:pStyle w:val="Compact"/>
            </w:pPr>
            <w:r>
              <w:t xml:space="preserve">Consumer pressure or elevated insurance/legal costs persist</w:t>
            </w:r>
          </w:p>
        </w:tc>
      </w:tr>
      <w:tr>
        <w:tc>
          <w:tcPr/>
          <w:p>
            <w:pPr>
              <w:pStyle w:val="Compact"/>
            </w:pPr>
            <w:r>
              <w:rPr>
                <w:b/>
                <w:bCs/>
              </w:rPr>
              <w:t xml:space="preserve">Macau</w:t>
            </w:r>
          </w:p>
        </w:tc>
        <w:tc>
          <w:tcPr/>
          <w:p>
            <w:pPr>
              <w:pStyle w:val="Compact"/>
            </w:pPr>
            <w:r>
              <w:t xml:space="preserve">Share gains and premium-mass demand sustain revenue growth; underlying margins stable</w:t>
            </w:r>
          </w:p>
        </w:tc>
        <w:tc>
          <w:tcPr/>
          <w:p>
            <w:pPr>
              <w:pStyle w:val="Compact"/>
            </w:pPr>
            <w:r>
              <w:t xml:space="preserve">Share slips, premium demand moderates, or renovation spend rises</w:t>
            </w:r>
          </w:p>
        </w:tc>
      </w:tr>
      <w:tr>
        <w:tc>
          <w:tcPr/>
          <w:p>
            <w:pPr>
              <w:pStyle w:val="Compact"/>
            </w:pPr>
            <w:r>
              <w:rPr>
                <w:b/>
                <w:bCs/>
              </w:rPr>
              <w:t xml:space="preserve">BetMGM / digital</w:t>
            </w:r>
          </w:p>
        </w:tc>
        <w:tc>
          <w:tcPr/>
          <w:p>
            <w:pPr>
              <w:pStyle w:val="Compact"/>
            </w:pPr>
            <w:r>
              <w:t xml:space="preserve">BetMGM maintains profitability momentum; MGM Digital loss narrows</w:t>
            </w:r>
          </w:p>
        </w:tc>
        <w:tc>
          <w:tcPr/>
          <w:p>
            <w:pPr>
              <w:pStyle w:val="Compact"/>
            </w:pPr>
            <w:r>
              <w:t xml:space="preserve">Sports marketing or international investment delays earnings leverage</w:t>
            </w:r>
          </w:p>
        </w:tc>
      </w:tr>
      <w:tr>
        <w:tc>
          <w:tcPr/>
          <w:p>
            <w:pPr>
              <w:pStyle w:val="Compact"/>
            </w:pPr>
            <w:r>
              <w:rPr>
                <w:b/>
                <w:bCs/>
              </w:rPr>
              <w:t xml:space="preserve">Capital return</w:t>
            </w:r>
          </w:p>
        </w:tc>
        <w:tc>
          <w:tcPr/>
          <w:p>
            <w:pPr>
              <w:pStyle w:val="Compact"/>
            </w:pPr>
            <w:r>
              <w:t xml:space="preserve">Buybacks accelerate after Northfield sale</w:t>
            </w:r>
          </w:p>
        </w:tc>
        <w:tc>
          <w:tcPr/>
          <w:p>
            <w:pPr>
              <w:pStyle w:val="Compact"/>
            </w:pPr>
            <w:r>
              <w:t xml:space="preserve">Cash is retained for development spend or leverage management</w:t>
            </w:r>
          </w:p>
        </w:tc>
      </w:tr>
      <w:tr>
        <w:tc>
          <w:tcPr/>
          <w:p>
            <w:pPr>
              <w:pStyle w:val="Compact"/>
            </w:pPr>
            <w:r>
              <w:rPr>
                <w:b/>
                <w:bCs/>
              </w:rPr>
              <w:t xml:space="preserve">Outlook</w:t>
            </w:r>
          </w:p>
        </w:tc>
        <w:tc>
          <w:tcPr/>
          <w:p>
            <w:pPr>
              <w:pStyle w:val="Compact"/>
            </w:pPr>
            <w:r>
              <w:t xml:space="preserve">Management reiterates confidence in full-year Las Vegas growth</w:t>
            </w:r>
          </w:p>
        </w:tc>
        <w:tc>
          <w:tcPr/>
          <w:p>
            <w:pPr>
              <w:pStyle w:val="Compact"/>
            </w:pPr>
            <w:r>
              <w:t xml:space="preserve">Cautious commentary on late-summer leisure bookings, costs, or consumer health</w:t>
            </w:r>
          </w:p>
        </w:tc>
      </w:tr>
    </w:tbl>
    <w:p>
      <w:r>
        <w:pict>
          <v:rect style="width:0;height:1.5pt" o:hralign="center" o:hrstd="t" o:hr="t"/>
        </w:pict>
      </w:r>
    </w:p>
    <w:bookmarkEnd w:id="18"/>
    <w:bookmarkStart w:id="19" w:name="bottom-line"/>
    <w:p>
      <w:pPr>
        <w:pStyle w:val="Heading2"/>
      </w:pPr>
      <w:r>
        <w:t xml:space="preserve">Bottom line</w:t>
      </w:r>
    </w:p>
    <w:p>
      <w:pPr>
        <w:pStyle w:val="FirstParagraph"/>
      </w:pPr>
      <w:r>
        <w:t xml:space="preserve">MGM’s 2Q report should be viewed as a</w:t>
      </w:r>
      <w:r>
        <w:t xml:space="preserve"> </w:t>
      </w:r>
      <w:r>
        <w:rPr>
          <w:b/>
          <w:bCs/>
        </w:rPr>
        <w:t xml:space="preserve">quality-of-earnings and margin-recovery event</w:t>
      </w:r>
      <w:r>
        <w:t xml:space="preserve">. The company already demonstrated in 1Q that its diversified portfolio can generate revenue growth through Macau and digital while Las Vegas begins to stabilize. The next proof point is whether Las Vegas can turn healthier convention demand, normalized comparisons, and restored MGM Grand capacity into improved Strip profitability.</w:t>
      </w:r>
    </w:p>
    <w:p>
      <w:pPr>
        <w:pStyle w:val="BodyText"/>
      </w:pPr>
      <w:r>
        <w:t xml:space="preserve">A favorable result would likely feature:</w:t>
      </w:r>
      <w:r>
        <w:t xml:space="preserve"> </w:t>
      </w:r>
      <w:r>
        <w:rPr>
          <w:b/>
          <w:bCs/>
        </w:rPr>
        <w:t xml:space="preserve">better Strip flow-through, stable Macau share, continued digital loss reduction, a constructive BetMGM update, and stronger buyback activity.</w:t>
      </w:r>
      <w:r>
        <w:t xml:space="preserve"> </w:t>
      </w:r>
      <w:r>
        <w:t xml:space="preserve">The principal risk is that the weaker value-tier leisure customer and elevated operating costs prove more structural than management currently suggests.</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0" Target="https://investors.mgmresorts.com/2026-04-29-MGM-RESORTS-INTERNATIONAL-REPORTS-FIRST-QUARTER-2026-FINANCIAL-AND-OPERATING-RESULTS?utm_source=openai" TargetMode="External" /><Relationship Type="http://schemas.openxmlformats.org/officeDocument/2006/relationships/hyperlink" Id="rId9" Target="https://investors.mgmresorts.com/2026-06-26-MGM-Resorts-International-Announces-Second-Quarter-Earnings-Release-Date?utm_source=openai" TargetMode="External" /><Relationship Type="http://schemas.openxmlformats.org/officeDocument/2006/relationships/hyperlink" Id="rId14" Target="https://investors.mgmresorts.com/2026-07-14-Notice-of-BetMGM-2Q-2026-Update-and-Conference-Call?utm_source=openai" TargetMode="External" /></Relationships>
</file>

<file path=word/_rels/footnotes.xml.rels><?xml version="1.0" encoding="UTF-8"?><Relationships xmlns="http://schemas.openxmlformats.org/package/2006/relationships"><Relationship Type="http://schemas.openxmlformats.org/officeDocument/2006/relationships/hyperlink" Id="rId10" Target="https://investors.mgmresorts.com/2026-04-29-MGM-RESORTS-INTERNATIONAL-REPORTS-FIRST-QUARTER-2026-FINANCIAL-AND-OPERATING-RESULTS?utm_source=openai" TargetMode="External" /><Relationship Type="http://schemas.openxmlformats.org/officeDocument/2006/relationships/hyperlink" Id="rId9" Target="https://investors.mgmresorts.com/2026-06-26-MGM-Resorts-International-Announces-Second-Quarter-Earnings-Release-Date?utm_source=openai" TargetMode="External" /><Relationship Type="http://schemas.openxmlformats.org/officeDocument/2006/relationships/hyperlink" Id="rId14" Target="https://investors.mgmresorts.com/2026-07-14-Notice-of-BetMGM-2Q-2026-Update-and-Conference-Call?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2026-07-28T01:01:31Z</dcterms:created>
  <dcterms:modified xsi:type="dcterms:W3CDTF">2026-07-28T01:01:31Z</dcterms:modified>
</cp:coreProperties>
</file>

<file path=docProps/custom.xml><?xml version="1.0" encoding="utf-8"?>
<Properties xmlns="http://schemas.openxmlformats.org/officeDocument/2006/custom-properties" xmlns:vt="http://schemas.openxmlformats.org/officeDocument/2006/docPropsVTypes"/>
</file>