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MGM Resorts International (MGM) — Q2 2026 Earnings Preview</w:t>
      </w:r>
    </w:p>
    <w:p>
      <w:r>
        <w:rPr>
          <w:rFonts w:ascii="Calibri" w:hAnsi="Calibri"/>
          <w:b/>
          <w:color w:val="525866"/>
          <w:sz w:val="22"/>
        </w:rPr>
        <w:t xml:space="preserve">Earnings Date: </w:t>
      </w:r>
      <w:r>
        <w:rPr>
          <w:rFonts w:ascii="Calibri" w:hAnsi="Calibri"/>
          <w:color w:val="525866"/>
          <w:sz w:val="22"/>
        </w:rPr>
        <w:t xml:space="preserve">July 29, 2026  </w:t>
      </w:r>
      <w:r>
        <w:rPr>
          <w:rFonts w:ascii="Calibri" w:hAnsi="Calibri"/>
          <w:b/>
          <w:color w:val="525866"/>
          <w:sz w:val="22"/>
        </w:rPr>
        <w:t xml:space="preserve">  |  Last Reported: </w:t>
      </w:r>
      <w:r>
        <w:rPr>
          <w:rFonts w:ascii="Calibri" w:hAnsi="Calibri"/>
          <w:color w:val="525866"/>
          <w:sz w:val="22"/>
        </w:rPr>
        <w:t xml:space="preserve">Q1 2026 (April 29, 2026)  </w:t>
      </w:r>
      <w:r>
        <w:rPr>
          <w:rFonts w:ascii="Calibri" w:hAnsi="Calibri"/>
          <w:b/>
          <w:color w:val="525866"/>
          <w:sz w:val="22"/>
        </w:rPr>
        <w:t xml:space="preserve">  |  Prepared: </w:t>
      </w:r>
      <w:r>
        <w:rPr>
          <w:rFonts w:ascii="Calibri" w:hAnsi="Calibri"/>
          <w:color w:val="525866"/>
          <w:sz w:val="22"/>
        </w:rPr>
        <w:t>July 27, 2026</w:t>
      </w:r>
    </w:p>
    <w:p>
      <w:pPr>
        <w:pStyle w:val="Heading2"/>
      </w:pPr>
      <w:r>
        <w:rPr>
          <w:rFonts w:ascii="Calibri" w:hAnsi="Calibri"/>
          <w:b/>
          <w:color w:val="3B4259"/>
          <w:sz w:val="28"/>
        </w:rPr>
        <w:t>Earnings Preview</w:t>
      </w:r>
    </w:p>
    <w:p>
      <w:r>
        <w:rPr>
          <w:rFonts w:ascii="Calibri" w:hAnsi="Calibri"/>
          <w:b/>
          <w:color w:val="525866"/>
          <w:sz w:val="22"/>
        </w:rPr>
        <w:t xml:space="preserve">Key Takeaway: </w:t>
      </w:r>
      <w:r>
        <w:rPr>
          <w:rFonts w:ascii="Calibri" w:hAnsi="Calibri"/>
          <w:color w:val="525866"/>
          <w:sz w:val="22"/>
        </w:rPr>
        <w:t>The setup into Q2 2026 is modestly constructive — consensus is a manageable bar with a meaningful hold tailwind (~$20M) and 54,000 incremental room nights from MGM Grand back online, but the stock is now a deal-arbitrage story following People Inc.'s $48.30/share bid, making the print secondary to M&amp;A process news.</w:t>
      </w:r>
    </w:p>
    <w:p>
      <w:r>
        <w:rPr>
          <w:rFonts w:ascii="Calibri" w:hAnsi="Calibri"/>
          <w:color w:val="525866"/>
          <w:sz w:val="22"/>
        </w:rPr>
        <w:t xml:space="preserve">Heading into Q2 2026, the bar for MGM looks achievable: </w:t>
      </w:r>
      <w:r>
        <w:rPr>
          <w:rFonts w:ascii="Calibri" w:hAnsi="Calibri"/>
          <w:b/>
          <w:color w:val="525866"/>
          <w:sz w:val="22"/>
        </w:rPr>
        <w:t>consensus Adjusted EBITDA of ~$623M</w:t>
      </w:r>
      <w:r>
        <w:rPr>
          <w:rFonts w:ascii="Calibri" w:hAnsi="Calibri"/>
          <w:color w:val="525866"/>
          <w:sz w:val="22"/>
        </w:rPr>
        <w:t xml:space="preserve"> implies modest year-over-year growth against a Q2 2025 that was hurt by roughly $20M of unfavorable hold and ongoing MGM Grand room renovations — both of which are now resolved tailwinds. Management guided explicitly for convention room night mix to rise 200bps year-over-year to 20% in Q2, and April was described as "fine" with May expected to be "a good month," suggesting the quarter started in line. </w:t>
      </w:r>
      <w:r>
        <w:rPr>
          <w:rFonts w:ascii="Calibri" w:hAnsi="Calibri"/>
          <w:b/>
          <w:color w:val="525866"/>
          <w:sz w:val="22"/>
        </w:rPr>
        <w:t>BetMGM's Q2 update (releasing July 28, one day before MGM's print)</w:t>
      </w:r>
      <w:r>
        <w:rPr>
          <w:rFonts w:ascii="Calibri" w:hAnsi="Calibri"/>
          <w:color w:val="525866"/>
          <w:sz w:val="22"/>
        </w:rPr>
        <w:t xml:space="preserve"> is a live wildcard — the venture lowered its full-year revenue guidance on the Q1 call while maintaining EBITDA guidance, and any further revision would pressure sentiment. The stock has been entirely re-rated by the </w:t>
      </w:r>
      <w:r>
        <w:rPr>
          <w:rFonts w:ascii="Calibri" w:hAnsi="Calibri"/>
          <w:b/>
          <w:color w:val="525866"/>
          <w:sz w:val="22"/>
        </w:rPr>
        <w:t>People Inc. (Barry Diller) $48.30/share take-private proposal announced June 1</w:t>
      </w:r>
      <w:r>
        <w:rPr>
          <w:rFonts w:ascii="Calibri" w:hAnsi="Calibri"/>
          <w:color w:val="525866"/>
          <w:sz w:val="22"/>
        </w:rPr>
        <w:t xml:space="preserve">, which drove a ~30% spike in the stock; shares now trade above the offer price (~$46), reflecting market expectations of a higher bid, and Stifel downgraded to Hold citing deal-execution risk. The single biggest wildcard for the print is </w:t>
      </w:r>
      <w:r>
        <w:rPr>
          <w:rFonts w:ascii="Calibri" w:hAnsi="Calibri"/>
          <w:b/>
          <w:color w:val="525866"/>
          <w:sz w:val="22"/>
        </w:rPr>
        <w:t>MGM China market share</w:t>
      </w:r>
      <w:r>
        <w:rPr>
          <w:rFonts w:ascii="Calibri" w:hAnsi="Calibri"/>
          <w:color w:val="525866"/>
          <w:sz w:val="22"/>
        </w:rPr>
        <w:t xml:space="preserve"> — Q1 exited March at 17.3% and held into April, but LVS's Q2 results showed Macau total GGR was flat year-over-year with World Cup-driven high-value patron disruption in June, which could weigh on MGM China's Q2 EBITDAR.</w:t>
      </w:r>
    </w:p>
    <w:p>
      <w:pPr>
        <w:pStyle w:val="Heading2"/>
      </w:pPr>
      <w:r>
        <w:rPr>
          <w:rFonts w:ascii="Calibri" w:hAnsi="Calibri"/>
          <w:b/>
          <w:color w:val="3B4259"/>
          <w:sz w:val="28"/>
        </w:rPr>
        <w:t>KPIs &amp; Consensus Expectations</w:t>
      </w:r>
    </w:p>
    <w:p>
      <w:r>
        <w:rPr>
          <w:rFonts w:ascii="Calibri" w:hAnsi="Calibri"/>
          <w:b/>
          <w:color w:val="525866"/>
          <w:sz w:val="22"/>
        </w:rPr>
        <w:t xml:space="preserve">Key Takeaway: </w:t>
      </w:r>
      <w:r>
        <w:rPr>
          <w:rFonts w:ascii="Calibri" w:hAnsi="Calibri"/>
          <w:color w:val="525866"/>
          <w:sz w:val="22"/>
        </w:rPr>
        <w:t xml:space="preserve">Consensus is a low-to-moderate bar on Adjusted EBITDA given the $20M hold tailwind and MGM Grand room recovery, but </w:t>
      </w:r>
      <w:r>
        <w:rPr>
          <w:rFonts w:ascii="Calibri" w:hAnsi="Calibri"/>
          <w:b/>
          <w:color w:val="525866"/>
          <w:sz w:val="22"/>
        </w:rPr>
        <w:t>Las Vegas Strip EBITDAR</w:t>
      </w:r>
      <w:r>
        <w:rPr>
          <w:rFonts w:ascii="Calibri" w:hAnsi="Calibri"/>
          <w:color w:val="525866"/>
          <w:sz w:val="22"/>
        </w:rPr>
        <w:t xml:space="preserve"> is the bigger swing factor — any softness in the value-tier (Luxor/Excalibur) or international visitation miss could disappoint even against a modest bar.</w:t>
      </w:r>
    </w:p>
    <w:p>
      <w:r>
        <w:rPr>
          <w:rFonts w:ascii="Calibri" w:hAnsi="Calibri"/>
          <w:b/>
          <w:color w:val="525866"/>
          <w:sz w:val="22"/>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Total Revenue ($B)</w:t>
            </w:r>
          </w:p>
        </w:tc>
        <w:tc>
          <w:tcPr>
            <w:tcW w:type="dxa" w:w="1234"/>
          </w:tcPr>
          <w:p>
            <w:r>
              <w:rPr>
                <w:rFonts w:ascii="Calibri" w:hAnsi="Calibri"/>
                <w:sz w:val="22"/>
              </w:rPr>
              <w:t>$4.455B</w:t>
            </w:r>
          </w:p>
        </w:tc>
        <w:tc>
          <w:tcPr>
            <w:tcW w:type="dxa" w:w="1234"/>
          </w:tcPr>
          <w:p>
            <w:r>
              <w:rPr>
                <w:rFonts w:ascii="Calibri" w:hAnsi="Calibri"/>
                <w:sz w:val="22"/>
              </w:rPr>
              <w:t>$4.405B</w:t>
            </w:r>
          </w:p>
        </w:tc>
        <w:tc>
          <w:tcPr>
            <w:tcW w:type="dxa" w:w="1234"/>
          </w:tcPr>
          <w:p>
            <w:r>
              <w:rPr>
                <w:rFonts w:ascii="Calibri" w:hAnsi="Calibri"/>
                <w:sz w:val="22"/>
              </w:rPr>
              <w:t>$4.423B</w:t>
            </w:r>
          </w:p>
        </w:tc>
        <w:tc>
          <w:tcPr>
            <w:tcW w:type="dxa" w:w="1234"/>
          </w:tcPr>
          <w:p>
            <w:r>
              <w:rPr>
                <w:rFonts w:ascii="Calibri" w:hAnsi="Calibri"/>
                <w:sz w:val="22"/>
              </w:rPr>
              <w:t>+0.4%</w:t>
            </w:r>
          </w:p>
        </w:tc>
        <w:tc>
          <w:tcPr>
            <w:tcW w:type="dxa" w:w="1234"/>
          </w:tcPr>
          <w:p>
            <w:r>
              <w:rPr>
                <w:rFonts w:ascii="Calibri" w:hAnsi="Calibri"/>
                <w:sz w:val="22"/>
              </w:rPr>
              <w:t>FY rev. growth &gt;4%</w:t>
            </w:r>
          </w:p>
        </w:tc>
        <w:tc>
          <w:tcPr>
            <w:tcW w:type="dxa" w:w="1234"/>
          </w:tcPr>
          <w:p>
            <w:r>
              <w:rPr>
                <w:rFonts w:ascii="Calibri" w:hAnsi="Calibri"/>
                <w:sz w:val="22"/>
              </w:rPr>
              <w:t>N/A (FY guidance)</w:t>
            </w:r>
          </w:p>
        </w:tc>
      </w:tr>
      <w:tr>
        <w:tc>
          <w:tcPr>
            <w:tcW w:type="dxa" w:w="1234"/>
          </w:tcPr>
          <w:p>
            <w:r>
              <w:rPr>
                <w:rFonts w:ascii="Calibri" w:hAnsi="Calibri"/>
                <w:sz w:val="22"/>
              </w:rPr>
              <w:t>Adjusted EBITDA ($M)</w:t>
            </w:r>
          </w:p>
        </w:tc>
        <w:tc>
          <w:tcPr>
            <w:tcW w:type="dxa" w:w="1234"/>
          </w:tcPr>
          <w:p>
            <w:r>
              <w:rPr>
                <w:rFonts w:ascii="Calibri" w:hAnsi="Calibri"/>
                <w:sz w:val="22"/>
              </w:rPr>
              <w:t>$580M</w:t>
            </w:r>
          </w:p>
        </w:tc>
        <w:tc>
          <w:tcPr>
            <w:tcW w:type="dxa" w:w="1234"/>
          </w:tcPr>
          <w:p>
            <w:r>
              <w:rPr>
                <w:rFonts w:ascii="Calibri" w:hAnsi="Calibri"/>
                <w:sz w:val="22"/>
              </w:rPr>
              <w:t>$648M</w:t>
            </w:r>
          </w:p>
        </w:tc>
        <w:tc>
          <w:tcPr>
            <w:tcW w:type="dxa" w:w="1234"/>
          </w:tcPr>
          <w:p>
            <w:r>
              <w:rPr>
                <w:rFonts w:ascii="Calibri" w:hAnsi="Calibri"/>
                <w:sz w:val="22"/>
              </w:rPr>
              <w:t>$623M</w:t>
            </w:r>
          </w:p>
        </w:tc>
        <w:tc>
          <w:tcPr>
            <w:tcW w:type="dxa" w:w="1234"/>
          </w:tcPr>
          <w:p>
            <w:r>
              <w:rPr>
                <w:rFonts w:ascii="Calibri" w:hAnsi="Calibri"/>
                <w:sz w:val="22"/>
              </w:rPr>
              <w:t>-3.8%</w:t>
            </w:r>
          </w:p>
        </w:tc>
        <w:tc>
          <w:tcPr>
            <w:tcW w:type="dxa" w:w="1234"/>
          </w:tcPr>
          <w:p>
            <w:r>
              <w:rPr>
                <w:rFonts w:ascii="Calibri" w:hAnsi="Calibri"/>
                <w:sz w:val="22"/>
              </w:rPr>
              <w:t>FY growth guided</w:t>
            </w:r>
          </w:p>
        </w:tc>
        <w:tc>
          <w:tcPr>
            <w:tcW w:type="dxa" w:w="1234"/>
          </w:tcPr>
          <w:p>
            <w:r>
              <w:rPr>
                <w:rFonts w:ascii="Calibri" w:hAnsi="Calibri"/>
                <w:sz w:val="22"/>
              </w:rPr>
              <w:t>N/A (FY guidance)</w:t>
            </w:r>
          </w:p>
        </w:tc>
      </w:tr>
      <w:tr>
        <w:tc>
          <w:tcPr>
            <w:tcW w:type="dxa" w:w="1234"/>
          </w:tcPr>
          <w:p>
            <w:r>
              <w:rPr>
                <w:rFonts w:ascii="Calibri" w:hAnsi="Calibri"/>
                <w:sz w:val="22"/>
              </w:rPr>
              <w:t>EPS — Diluted Operating ($)</w:t>
            </w:r>
          </w:p>
        </w:tc>
        <w:tc>
          <w:tcPr>
            <w:tcW w:type="dxa" w:w="1234"/>
          </w:tcPr>
          <w:p>
            <w:r>
              <w:rPr>
                <w:rFonts w:ascii="Calibri" w:hAnsi="Calibri"/>
                <w:sz w:val="22"/>
              </w:rPr>
              <w:t>$0.49</w:t>
            </w:r>
          </w:p>
        </w:tc>
        <w:tc>
          <w:tcPr>
            <w:tcW w:type="dxa" w:w="1234"/>
          </w:tcPr>
          <w:p>
            <w:r>
              <w:rPr>
                <w:rFonts w:ascii="Calibri" w:hAnsi="Calibri"/>
                <w:sz w:val="22"/>
              </w:rPr>
              <w:t>$0.79</w:t>
            </w:r>
          </w:p>
        </w:tc>
        <w:tc>
          <w:tcPr>
            <w:tcW w:type="dxa" w:w="1234"/>
          </w:tcPr>
          <w:p>
            <w:r>
              <w:rPr>
                <w:rFonts w:ascii="Calibri" w:hAnsi="Calibri"/>
                <w:sz w:val="22"/>
              </w:rPr>
              <w:t>$0.57</w:t>
            </w:r>
          </w:p>
        </w:tc>
        <w:tc>
          <w:tcPr>
            <w:tcW w:type="dxa" w:w="1234"/>
          </w:tcPr>
          <w:p>
            <w:r>
              <w:rPr>
                <w:rFonts w:ascii="Calibri" w:hAnsi="Calibri"/>
                <w:sz w:val="22"/>
              </w:rPr>
              <w:t>-27.8%</w:t>
            </w:r>
          </w:p>
        </w:tc>
        <w:tc>
          <w:tcPr>
            <w:tcW w:type="dxa" w:w="1234"/>
          </w:tcPr>
          <w:p>
            <w:r>
              <w:rPr>
                <w:rFonts w:ascii="Calibri" w:hAnsi="Calibri"/>
                <w:sz w:val="22"/>
              </w:rPr>
              <w:t>N/A — no EPS guidance</w:t>
            </w:r>
          </w:p>
        </w:tc>
        <w:tc>
          <w:tcPr>
            <w:tcW w:type="dxa" w:w="1234"/>
          </w:tcPr>
          <w:p>
            <w:r>
              <w:rPr>
                <w:rFonts w:ascii="Calibri" w:hAnsi="Calibri"/>
                <w:sz w:val="22"/>
              </w:rPr>
              <w:t>N/A</w:t>
            </w:r>
          </w:p>
        </w:tc>
      </w:tr>
      <w:tr>
        <w:tc>
          <w:tcPr>
            <w:tcW w:type="dxa" w:w="1234"/>
          </w:tcPr>
          <w:p>
            <w:r>
              <w:rPr>
                <w:rFonts w:ascii="Calibri" w:hAnsi="Calibri"/>
                <w:sz w:val="22"/>
              </w:rPr>
              <w:t>Las Vegas Revenue ($B)</w:t>
            </w:r>
          </w:p>
        </w:tc>
        <w:tc>
          <w:tcPr>
            <w:tcW w:type="dxa" w:w="1234"/>
          </w:tcPr>
          <w:p>
            <w:r>
              <w:rPr>
                <w:rFonts w:ascii="Calibri" w:hAnsi="Calibri"/>
                <w:sz w:val="22"/>
              </w:rPr>
              <w:t>$2.180B</w:t>
            </w:r>
          </w:p>
        </w:tc>
        <w:tc>
          <w:tcPr>
            <w:tcW w:type="dxa" w:w="1234"/>
          </w:tcPr>
          <w:p>
            <w:r>
              <w:rPr>
                <w:rFonts w:ascii="Calibri" w:hAnsi="Calibri"/>
                <w:sz w:val="22"/>
              </w:rPr>
              <w:t>$2.115B</w:t>
            </w:r>
          </w:p>
        </w:tc>
        <w:tc>
          <w:tcPr>
            <w:tcW w:type="dxa" w:w="1234"/>
          </w:tcPr>
          <w:p>
            <w:r>
              <w:rPr>
                <w:rFonts w:ascii="Calibri" w:hAnsi="Calibri"/>
                <w:sz w:val="22"/>
              </w:rPr>
              <w:t>$2.143B</w:t>
            </w:r>
          </w:p>
        </w:tc>
        <w:tc>
          <w:tcPr>
            <w:tcW w:type="dxa" w:w="1234"/>
          </w:tcPr>
          <w:p>
            <w:r>
              <w:rPr>
                <w:rFonts w:ascii="Calibri" w:hAnsi="Calibri"/>
                <w:sz w:val="22"/>
              </w:rPr>
              <w:t>+1.3%</w:t>
            </w:r>
          </w:p>
        </w:tc>
        <w:tc>
          <w:tcPr>
            <w:tcW w:type="dxa" w:w="1234"/>
          </w:tcPr>
          <w:p>
            <w:r>
              <w:rPr>
                <w:rFonts w:ascii="Calibri" w:hAnsi="Calibri"/>
                <w:sz w:val="22"/>
              </w:rPr>
              <w:t>Growth through balance of year (tempered modestly)</w:t>
            </w:r>
          </w:p>
        </w:tc>
        <w:tc>
          <w:tcPr>
            <w:tcW w:type="dxa" w:w="1234"/>
          </w:tcPr>
          <w:p>
            <w:r>
              <w:rPr>
                <w:rFonts w:ascii="Calibri" w:hAnsi="Calibri"/>
                <w:sz w:val="22"/>
              </w:rPr>
              <w:t>N/A (qualitative)</w:t>
            </w:r>
          </w:p>
        </w:tc>
      </w:tr>
      <w:tr>
        <w:tc>
          <w:tcPr>
            <w:tcW w:type="dxa" w:w="1234"/>
          </w:tcPr>
          <w:p>
            <w:r>
              <w:rPr>
                <w:rFonts w:ascii="Calibri" w:hAnsi="Calibri"/>
                <w:sz w:val="22"/>
              </w:rPr>
              <w:t>Las Vegas Property EBITDAR ($M)</w:t>
            </w:r>
          </w:p>
        </w:tc>
        <w:tc>
          <w:tcPr>
            <w:tcW w:type="dxa" w:w="1234"/>
          </w:tcPr>
          <w:p>
            <w:r>
              <w:rPr>
                <w:rFonts w:ascii="Calibri" w:hAnsi="Calibri"/>
                <w:sz w:val="22"/>
              </w:rPr>
              <w:t>$749M</w:t>
            </w:r>
          </w:p>
        </w:tc>
        <w:tc>
          <w:tcPr>
            <w:tcW w:type="dxa" w:w="1234"/>
          </w:tcPr>
          <w:p>
            <w:r>
              <w:rPr>
                <w:rFonts w:ascii="Calibri" w:hAnsi="Calibri"/>
                <w:sz w:val="22"/>
              </w:rPr>
              <w:t>$710M</w:t>
            </w:r>
          </w:p>
        </w:tc>
        <w:tc>
          <w:tcPr>
            <w:tcW w:type="dxa" w:w="1234"/>
          </w:tcPr>
          <w:p>
            <w:r>
              <w:rPr>
                <w:rFonts w:ascii="Calibri" w:hAnsi="Calibri"/>
                <w:sz w:val="22"/>
              </w:rPr>
              <w:t>$719M</w:t>
            </w:r>
          </w:p>
        </w:tc>
        <w:tc>
          <w:tcPr>
            <w:tcW w:type="dxa" w:w="1234"/>
          </w:tcPr>
          <w:p>
            <w:r>
              <w:rPr>
                <w:rFonts w:ascii="Calibri" w:hAnsi="Calibri"/>
                <w:sz w:val="22"/>
              </w:rPr>
              <w:t>+1.3%</w:t>
            </w:r>
          </w:p>
        </w:tc>
        <w:tc>
          <w:tcPr>
            <w:tcW w:type="dxa" w:w="1234"/>
          </w:tcPr>
          <w:p>
            <w:r>
              <w:rPr>
                <w:rFonts w:ascii="Calibri" w:hAnsi="Calibri"/>
                <w:sz w:val="22"/>
              </w:rPr>
              <w:t>Convention mix +200bps YoY to 20%</w:t>
            </w:r>
          </w:p>
        </w:tc>
        <w:tc>
          <w:tcPr>
            <w:tcW w:type="dxa" w:w="1234"/>
          </w:tcPr>
          <w:p>
            <w:r>
              <w:rPr>
                <w:rFonts w:ascii="Calibri" w:hAnsi="Calibri"/>
                <w:sz w:val="22"/>
              </w:rPr>
              <w:t>N/A (qualitative)</w:t>
            </w:r>
          </w:p>
        </w:tc>
      </w:tr>
      <w:tr>
        <w:tc>
          <w:tcPr>
            <w:tcW w:type="dxa" w:w="1234"/>
          </w:tcPr>
          <w:p>
            <w:r>
              <w:rPr>
                <w:rFonts w:ascii="Calibri" w:hAnsi="Calibri"/>
                <w:sz w:val="22"/>
              </w:rPr>
              <w:t>LV EBITDAR Margin (%)</w:t>
            </w:r>
          </w:p>
        </w:tc>
        <w:tc>
          <w:tcPr>
            <w:tcW w:type="dxa" w:w="1234"/>
          </w:tcPr>
          <w:p>
            <w:r>
              <w:rPr>
                <w:rFonts w:ascii="Calibri" w:hAnsi="Calibri"/>
                <w:sz w:val="22"/>
              </w:rPr>
              <w:t>34.4%</w:t>
            </w:r>
          </w:p>
        </w:tc>
        <w:tc>
          <w:tcPr>
            <w:tcW w:type="dxa" w:w="1234"/>
          </w:tcPr>
          <w:p>
            <w:r>
              <w:rPr>
                <w:rFonts w:ascii="Calibri" w:hAnsi="Calibri"/>
                <w:sz w:val="22"/>
              </w:rPr>
              <w:t>33.6%</w:t>
            </w:r>
          </w:p>
        </w:tc>
        <w:tc>
          <w:tcPr>
            <w:tcW w:type="dxa" w:w="1234"/>
          </w:tcPr>
          <w:p>
            <w:r>
              <w:rPr>
                <w:rFonts w:ascii="Calibri" w:hAnsi="Calibri"/>
                <w:sz w:val="22"/>
              </w:rPr>
              <w:t>33.6%</w:t>
            </w:r>
          </w:p>
        </w:tc>
        <w:tc>
          <w:tcPr>
            <w:tcW w:type="dxa" w:w="1234"/>
          </w:tcPr>
          <w:p>
            <w:r>
              <w:rPr>
                <w:rFonts w:ascii="Calibri" w:hAnsi="Calibri"/>
                <w:sz w:val="22"/>
              </w:rPr>
              <w:t>+0bps</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MGM China Revenue ($M)</w:t>
            </w:r>
          </w:p>
        </w:tc>
        <w:tc>
          <w:tcPr>
            <w:tcW w:type="dxa" w:w="1234"/>
          </w:tcPr>
          <w:p>
            <w:r>
              <w:rPr>
                <w:rFonts w:ascii="Calibri" w:hAnsi="Calibri"/>
                <w:sz w:val="22"/>
              </w:rPr>
              <w:t>$1,122M</w:t>
            </w:r>
          </w:p>
        </w:tc>
        <w:tc>
          <w:tcPr>
            <w:tcW w:type="dxa" w:w="1234"/>
          </w:tcPr>
          <w:p>
            <w:r>
              <w:rPr>
                <w:rFonts w:ascii="Calibri" w:hAnsi="Calibri"/>
                <w:sz w:val="22"/>
              </w:rPr>
              <w:t>$1,110M</w:t>
            </w:r>
          </w:p>
        </w:tc>
        <w:tc>
          <w:tcPr>
            <w:tcW w:type="dxa" w:w="1234"/>
          </w:tcPr>
          <w:p>
            <w:r>
              <w:rPr>
                <w:rFonts w:ascii="Calibri" w:hAnsi="Calibri"/>
                <w:sz w:val="22"/>
              </w:rPr>
              <w:t>$1,129M</w:t>
            </w:r>
          </w:p>
        </w:tc>
        <w:tc>
          <w:tcPr>
            <w:tcW w:type="dxa" w:w="1234"/>
          </w:tcPr>
          <w:p>
            <w:r>
              <w:rPr>
                <w:rFonts w:ascii="Calibri" w:hAnsi="Calibri"/>
                <w:sz w:val="22"/>
              </w:rPr>
              <w:t>+1.7%</w:t>
            </w:r>
          </w:p>
        </w:tc>
        <w:tc>
          <w:tcPr>
            <w:tcW w:type="dxa" w:w="1234"/>
          </w:tcPr>
          <w:p>
            <w:r>
              <w:rPr>
                <w:rFonts w:ascii="Calibri" w:hAnsi="Calibri"/>
                <w:sz w:val="22"/>
              </w:rPr>
              <w:t>Mid-20s segment EBITDA margin</w:t>
            </w:r>
          </w:p>
        </w:tc>
        <w:tc>
          <w:tcPr>
            <w:tcW w:type="dxa" w:w="1234"/>
          </w:tcPr>
          <w:p>
            <w:r>
              <w:rPr>
                <w:rFonts w:ascii="Calibri" w:hAnsi="Calibri"/>
                <w:sz w:val="22"/>
              </w:rPr>
              <w:t>N/A (qualitative)</w:t>
            </w:r>
          </w:p>
        </w:tc>
      </w:tr>
      <w:tr>
        <w:tc>
          <w:tcPr>
            <w:tcW w:type="dxa" w:w="1234"/>
          </w:tcPr>
          <w:p>
            <w:r>
              <w:rPr>
                <w:rFonts w:ascii="Calibri" w:hAnsi="Calibri"/>
                <w:sz w:val="22"/>
              </w:rPr>
              <w:t>MGM China Property EBITDAR ($M)</w:t>
            </w:r>
          </w:p>
        </w:tc>
        <w:tc>
          <w:tcPr>
            <w:tcW w:type="dxa" w:w="1234"/>
          </w:tcPr>
          <w:p>
            <w:r>
              <w:rPr>
                <w:rFonts w:ascii="Calibri" w:hAnsi="Calibri"/>
                <w:sz w:val="22"/>
              </w:rPr>
              <w:t>$273M</w:t>
            </w:r>
          </w:p>
        </w:tc>
        <w:tc>
          <w:tcPr>
            <w:tcW w:type="dxa" w:w="1234"/>
          </w:tcPr>
          <w:p>
            <w:r>
              <w:rPr>
                <w:rFonts w:ascii="Calibri" w:hAnsi="Calibri"/>
                <w:sz w:val="22"/>
              </w:rPr>
              <w:t>$301M</w:t>
            </w:r>
          </w:p>
        </w:tc>
        <w:tc>
          <w:tcPr>
            <w:tcW w:type="dxa" w:w="1234"/>
          </w:tcPr>
          <w:p>
            <w:r>
              <w:rPr>
                <w:rFonts w:ascii="Calibri" w:hAnsi="Calibri"/>
                <w:sz w:val="22"/>
              </w:rPr>
              <w:t>$278M</w:t>
            </w:r>
          </w:p>
        </w:tc>
        <w:tc>
          <w:tcPr>
            <w:tcW w:type="dxa" w:w="1234"/>
          </w:tcPr>
          <w:p>
            <w:r>
              <w:rPr>
                <w:rFonts w:ascii="Calibri" w:hAnsi="Calibri"/>
                <w:sz w:val="22"/>
              </w:rPr>
              <w:t>-7.6%</w:t>
            </w:r>
          </w:p>
        </w:tc>
        <w:tc>
          <w:tcPr>
            <w:tcW w:type="dxa" w:w="1234"/>
          </w:tcPr>
          <w:p>
            <w:r>
              <w:rPr>
                <w:rFonts w:ascii="Calibri" w:hAnsi="Calibri"/>
                <w:sz w:val="22"/>
              </w:rPr>
              <w:t>Mid-20s margin (new branding fee structure)</w:t>
            </w:r>
          </w:p>
        </w:tc>
        <w:tc>
          <w:tcPr>
            <w:tcW w:type="dxa" w:w="1234"/>
          </w:tcPr>
          <w:p>
            <w:r>
              <w:rPr>
                <w:rFonts w:ascii="Calibri" w:hAnsi="Calibri"/>
                <w:sz w:val="22"/>
              </w:rPr>
              <w:t>N/A (qualitative)</w:t>
            </w:r>
          </w:p>
        </w:tc>
      </w:tr>
      <w:tr>
        <w:tc>
          <w:tcPr>
            <w:tcW w:type="dxa" w:w="1234"/>
          </w:tcPr>
          <w:p>
            <w:r>
              <w:rPr>
                <w:rFonts w:ascii="Calibri" w:hAnsi="Calibri"/>
                <w:sz w:val="22"/>
              </w:rPr>
              <w:t>BetMGM Revenue ($M)</w:t>
            </w:r>
          </w:p>
        </w:tc>
        <w:tc>
          <w:tcPr>
            <w:tcW w:type="dxa" w:w="1234"/>
          </w:tcPr>
          <w:p>
            <w:r>
              <w:rPr>
                <w:rFonts w:ascii="Calibri" w:hAnsi="Calibri"/>
                <w:sz w:val="22"/>
              </w:rPr>
              <w:t>$696M</w:t>
            </w:r>
          </w:p>
        </w:tc>
        <w:tc>
          <w:tcPr>
            <w:tcW w:type="dxa" w:w="1234"/>
          </w:tcPr>
          <w:p>
            <w:r>
              <w:rPr>
                <w:rFonts w:ascii="Calibri" w:hAnsi="Calibri"/>
                <w:sz w:val="22"/>
              </w:rPr>
              <w:t>$692M</w:t>
            </w:r>
          </w:p>
        </w:tc>
        <w:tc>
          <w:tcPr>
            <w:tcW w:type="dxa" w:w="1234"/>
          </w:tcPr>
          <w:p>
            <w:r>
              <w:rPr>
                <w:rFonts w:ascii="Calibri" w:hAnsi="Calibri"/>
                <w:sz w:val="22"/>
              </w:rPr>
              <w:t>$745M</w:t>
            </w:r>
          </w:p>
        </w:tc>
        <w:tc>
          <w:tcPr>
            <w:tcW w:type="dxa" w:w="1234"/>
          </w:tcPr>
          <w:p>
            <w:r>
              <w:rPr>
                <w:rFonts w:ascii="Calibri" w:hAnsi="Calibri"/>
                <w:sz w:val="22"/>
              </w:rPr>
              <w:t>+7.7%</w:t>
            </w:r>
          </w:p>
        </w:tc>
        <w:tc>
          <w:tcPr>
            <w:tcW w:type="dxa" w:w="1234"/>
          </w:tcPr>
          <w:p>
            <w:r>
              <w:rPr>
                <w:rFonts w:ascii="Calibri" w:hAnsi="Calibri"/>
                <w:sz w:val="22"/>
              </w:rPr>
              <w:t>FY rev. guidance lowered (range cut); EBITDA maintained at low end</w:t>
            </w:r>
          </w:p>
        </w:tc>
        <w:tc>
          <w:tcPr>
            <w:tcW w:type="dxa" w:w="1234"/>
          </w:tcPr>
          <w:p>
            <w:r>
              <w:rPr>
                <w:rFonts w:ascii="Calibri" w:hAnsi="Calibri"/>
                <w:sz w:val="22"/>
              </w:rPr>
              <w:t>N/A (FY guidance)</w:t>
            </w:r>
          </w:p>
        </w:tc>
      </w:tr>
      <w:tr>
        <w:tc>
          <w:tcPr>
            <w:tcW w:type="dxa" w:w="1234"/>
          </w:tcPr>
          <w:p>
            <w:r>
              <w:rPr>
                <w:rFonts w:ascii="Calibri" w:hAnsi="Calibri"/>
                <w:sz w:val="22"/>
              </w:rPr>
              <w:t>BetMGM EBITDA ($M)</w:t>
            </w:r>
          </w:p>
        </w:tc>
        <w:tc>
          <w:tcPr>
            <w:tcW w:type="dxa" w:w="1234"/>
          </w:tcPr>
          <w:p>
            <w:r>
              <w:rPr>
                <w:rFonts w:ascii="Calibri" w:hAnsi="Calibri"/>
                <w:sz w:val="22"/>
              </w:rPr>
              <w:t>$19.9M</w:t>
            </w:r>
          </w:p>
        </w:tc>
        <w:tc>
          <w:tcPr>
            <w:tcW w:type="dxa" w:w="1234"/>
          </w:tcPr>
          <w:p>
            <w:r>
              <w:rPr>
                <w:rFonts w:ascii="Calibri" w:hAnsi="Calibri"/>
                <w:sz w:val="22"/>
              </w:rPr>
              <w:t>$64.8M</w:t>
            </w:r>
          </w:p>
        </w:tc>
        <w:tc>
          <w:tcPr>
            <w:tcW w:type="dxa" w:w="1234"/>
          </w:tcPr>
          <w:p>
            <w:r>
              <w:rPr>
                <w:rFonts w:ascii="Calibri" w:hAnsi="Calibri"/>
                <w:sz w:val="22"/>
              </w:rPr>
              <w:t>$73.9M</w:t>
            </w:r>
          </w:p>
        </w:tc>
        <w:tc>
          <w:tcPr>
            <w:tcW w:type="dxa" w:w="1234"/>
          </w:tcPr>
          <w:p>
            <w:r>
              <w:rPr>
                <w:rFonts w:ascii="Calibri" w:hAnsi="Calibri"/>
                <w:sz w:val="22"/>
              </w:rPr>
              <w:t>+14.1%</w:t>
            </w:r>
          </w:p>
        </w:tc>
        <w:tc>
          <w:tcPr>
            <w:tcW w:type="dxa" w:w="1234"/>
          </w:tcPr>
          <w:p>
            <w:r>
              <w:rPr>
                <w:rFonts w:ascii="Calibri" w:hAnsi="Calibri"/>
                <w:sz w:val="22"/>
              </w:rPr>
              <w:t>FY EBITDA maintained at low end of prior range</w:t>
            </w:r>
          </w:p>
        </w:tc>
        <w:tc>
          <w:tcPr>
            <w:tcW w:type="dxa" w:w="1234"/>
          </w:tcPr>
          <w:p>
            <w:r>
              <w:rPr>
                <w:rFonts w:ascii="Calibri" w:hAnsi="Calibri"/>
                <w:sz w:val="22"/>
              </w:rPr>
              <w:t>N/A (FY guidance)</w:t>
            </w:r>
          </w:p>
        </w:tc>
      </w:tr>
      <w:tr>
        <w:tc>
          <w:tcPr>
            <w:tcW w:type="dxa" w:w="1234"/>
          </w:tcPr>
          <w:p>
            <w:r>
              <w:rPr>
                <w:rFonts w:ascii="Calibri" w:hAnsi="Calibri"/>
                <w:sz w:val="22"/>
              </w:rPr>
              <w:t>Regional Ops Revenue ($M)</w:t>
            </w:r>
          </w:p>
        </w:tc>
        <w:tc>
          <w:tcPr>
            <w:tcW w:type="dxa" w:w="1234"/>
          </w:tcPr>
          <w:p>
            <w:r>
              <w:rPr>
                <w:rFonts w:ascii="Calibri" w:hAnsi="Calibri"/>
                <w:sz w:val="22"/>
              </w:rPr>
              <w:t>$918M</w:t>
            </w:r>
          </w:p>
        </w:tc>
        <w:tc>
          <w:tcPr>
            <w:tcW w:type="dxa" w:w="1234"/>
          </w:tcPr>
          <w:p>
            <w:r>
              <w:rPr>
                <w:rFonts w:ascii="Calibri" w:hAnsi="Calibri"/>
                <w:sz w:val="22"/>
              </w:rPr>
              <w:t>$965M</w:t>
            </w:r>
          </w:p>
        </w:tc>
        <w:tc>
          <w:tcPr>
            <w:tcW w:type="dxa" w:w="1234"/>
          </w:tcPr>
          <w:p>
            <w:r>
              <w:rPr>
                <w:rFonts w:ascii="Calibri" w:hAnsi="Calibri"/>
                <w:sz w:val="22"/>
              </w:rPr>
              <w:t>$913M</w:t>
            </w:r>
          </w:p>
        </w:tc>
        <w:tc>
          <w:tcPr>
            <w:tcW w:type="dxa" w:w="1234"/>
          </w:tcPr>
          <w:p>
            <w:r>
              <w:rPr>
                <w:rFonts w:ascii="Calibri" w:hAnsi="Calibri"/>
                <w:sz w:val="22"/>
              </w:rPr>
              <w:t>-5.4%</w:t>
            </w:r>
          </w:p>
        </w:tc>
        <w:tc>
          <w:tcPr>
            <w:tcW w:type="dxa" w:w="1234"/>
          </w:tcPr>
          <w:p>
            <w:r>
              <w:rPr>
                <w:rFonts w:ascii="Calibri" w:hAnsi="Calibri"/>
                <w:sz w:val="22"/>
              </w:rPr>
              <w:t>Northfield Park sold (closed April 2026)</w:t>
            </w:r>
          </w:p>
        </w:tc>
        <w:tc>
          <w:tcPr>
            <w:tcW w:type="dxa" w:w="1234"/>
          </w:tcPr>
          <w:p>
            <w:r>
              <w:rPr>
                <w:rFonts w:ascii="Calibri" w:hAnsi="Calibri"/>
                <w:sz w:val="22"/>
              </w:rPr>
              <w:t>N/A</w:t>
            </w:r>
          </w:p>
        </w:tc>
      </w:tr>
      <w:tr>
        <w:tc>
          <w:tcPr>
            <w:tcW w:type="dxa" w:w="1234"/>
          </w:tcPr>
          <w:p>
            <w:r>
              <w:rPr>
                <w:rFonts w:ascii="Calibri" w:hAnsi="Calibri"/>
                <w:sz w:val="22"/>
              </w:rPr>
              <w:t>Regional Ops EBITDAR ($M)</w:t>
            </w:r>
          </w:p>
        </w:tc>
        <w:tc>
          <w:tcPr>
            <w:tcW w:type="dxa" w:w="1234"/>
          </w:tcPr>
          <w:p>
            <w:r>
              <w:rPr>
                <w:rFonts w:ascii="Calibri" w:hAnsi="Calibri"/>
                <w:sz w:val="22"/>
              </w:rPr>
              <w:t>$259M</w:t>
            </w:r>
          </w:p>
        </w:tc>
        <w:tc>
          <w:tcPr>
            <w:tcW w:type="dxa" w:w="1234"/>
          </w:tcPr>
          <w:p>
            <w:r>
              <w:rPr>
                <w:rFonts w:ascii="Calibri" w:hAnsi="Calibri"/>
                <w:sz w:val="22"/>
              </w:rPr>
              <w:t>$309M</w:t>
            </w:r>
          </w:p>
        </w:tc>
        <w:tc>
          <w:tcPr>
            <w:tcW w:type="dxa" w:w="1234"/>
          </w:tcPr>
          <w:p>
            <w:r>
              <w:rPr>
                <w:rFonts w:ascii="Calibri" w:hAnsi="Calibri"/>
                <w:sz w:val="22"/>
              </w:rPr>
              <w:t>$277M</w:t>
            </w:r>
          </w:p>
        </w:tc>
        <w:tc>
          <w:tcPr>
            <w:tcW w:type="dxa" w:w="1234"/>
          </w:tcPr>
          <w:p>
            <w:r>
              <w:rPr>
                <w:rFonts w:ascii="Calibri" w:hAnsi="Calibri"/>
                <w:sz w:val="22"/>
              </w:rPr>
              <w:t>-10.4%</w:t>
            </w:r>
          </w:p>
        </w:tc>
        <w:tc>
          <w:tcPr>
            <w:tcW w:type="dxa" w:w="1234"/>
          </w:tcPr>
          <w:p>
            <w:r>
              <w:rPr>
                <w:rFonts w:ascii="Calibri" w:hAnsi="Calibri"/>
                <w:sz w:val="22"/>
              </w:rPr>
              <w:t>Northfield Park sold; trends continued into April</w:t>
            </w:r>
          </w:p>
        </w:tc>
        <w:tc>
          <w:tcPr>
            <w:tcW w:type="dxa" w:w="1234"/>
          </w:tcPr>
          <w:p>
            <w:r>
              <w:rPr>
                <w:rFonts w:ascii="Calibri" w:hAnsi="Calibri"/>
                <w:sz w:val="22"/>
              </w:rPr>
              <w:t>N/A</w:t>
            </w:r>
          </w:p>
        </w:tc>
      </w:tr>
    </w:tbl>
    <w:p>
      <w:r>
        <w:rPr>
          <w:rFonts w:ascii="Calibri" w:hAnsi="Calibri"/>
          <w:i/>
          <w:color w:val="525866"/>
          <w:sz w:val="22"/>
        </w:rPr>
        <w:t>Source: Visible Alpha Consensus and Actuals Data. All consensus figures as of July 27, 2026.</w:t>
      </w:r>
    </w:p>
    <w:p>
      <w:r>
        <w:rPr>
          <w:rFonts w:ascii="Calibri" w:hAnsi="Calibri"/>
          <w:b/>
          <w:color w:val="525866"/>
          <w:sz w:val="22"/>
        </w:rPr>
        <w:t>Table 2 — Beat/Miss History: Adjusted EBITDA &amp; Las Vegas Revenue (Last 8 Quarters)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EBITDA</w:t>
            </w:r>
          </w:p>
        </w:tc>
        <w:tc>
          <w:tcPr>
            <w:tcW w:type="dxa" w:w="1440"/>
          </w:tcPr>
          <w:p>
            <w:r>
              <w:rPr>
                <w:rFonts w:ascii="Calibri" w:hAnsi="Calibri"/>
                <w:sz w:val="22"/>
              </w:rPr>
              <w:t>$580M</w:t>
            </w:r>
          </w:p>
        </w:tc>
        <w:tc>
          <w:tcPr>
            <w:tcW w:type="dxa" w:w="1440"/>
          </w:tcPr>
          <w:p>
            <w:r>
              <w:rPr>
                <w:rFonts w:ascii="Calibri" w:hAnsi="Calibri"/>
                <w:sz w:val="22"/>
              </w:rPr>
              <w:t>$606M</w:t>
            </w:r>
          </w:p>
        </w:tc>
        <w:tc>
          <w:tcPr>
            <w:tcW w:type="dxa" w:w="1440"/>
          </w:tcPr>
          <w:p>
            <w:r>
              <w:rPr>
                <w:rFonts w:ascii="Calibri" w:hAnsi="Calibri"/>
                <w:b/>
                <w:color w:val="E5484D"/>
                <w:sz w:val="22"/>
              </w:rPr>
              <w:t>-4.3%</w:t>
            </w:r>
          </w:p>
        </w:tc>
        <w:tc>
          <w:tcPr>
            <w:tcW w:type="dxa" w:w="1440"/>
          </w:tcPr>
          <w:p>
            <w:r>
              <w:rPr>
                <w:rFonts w:ascii="Calibri" w:hAnsi="Calibri"/>
                <w:sz w:val="22"/>
              </w:rPr>
              <w:t>Miss</w:t>
            </w:r>
          </w:p>
        </w:tc>
      </w:tr>
      <w:tr>
        <w:tc>
          <w:tcPr>
            <w:tcW w:type="dxa" w:w="1440"/>
          </w:tcPr>
          <w:p>
            <w:r>
              <w:rPr>
                <w:rFonts w:ascii="Calibri" w:hAnsi="Calibri"/>
                <w:sz w:val="22"/>
              </w:rPr>
              <w:t>Q1 2026</w:t>
            </w:r>
          </w:p>
        </w:tc>
        <w:tc>
          <w:tcPr>
            <w:tcW w:type="dxa" w:w="1440"/>
          </w:tcPr>
          <w:p>
            <w:r>
              <w:rPr>
                <w:rFonts w:ascii="Calibri" w:hAnsi="Calibri"/>
                <w:sz w:val="22"/>
              </w:rPr>
              <w:t>LV Revenue</w:t>
            </w:r>
          </w:p>
        </w:tc>
        <w:tc>
          <w:tcPr>
            <w:tcW w:type="dxa" w:w="1440"/>
          </w:tcPr>
          <w:p>
            <w:r>
              <w:rPr>
                <w:rFonts w:ascii="Calibri" w:hAnsi="Calibri"/>
                <w:sz w:val="22"/>
              </w:rPr>
              <w:t>$2,180M</w:t>
            </w:r>
          </w:p>
        </w:tc>
        <w:tc>
          <w:tcPr>
            <w:tcW w:type="dxa" w:w="1440"/>
          </w:tcPr>
          <w:p>
            <w:r>
              <w:rPr>
                <w:rFonts w:ascii="Calibri" w:hAnsi="Calibri"/>
                <w:sz w:val="22"/>
              </w:rPr>
              <w:t>$2,142M</w:t>
            </w:r>
          </w:p>
        </w:tc>
        <w:tc>
          <w:tcPr>
            <w:tcW w:type="dxa" w:w="1440"/>
          </w:tcPr>
          <w:p>
            <w:r>
              <w:rPr>
                <w:rFonts w:ascii="Calibri" w:hAnsi="Calibri"/>
                <w:b/>
                <w:color w:val="30A46C"/>
                <w:sz w:val="22"/>
              </w:rPr>
              <w:t>+1.8%</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Adj. EBITDA</w:t>
            </w:r>
          </w:p>
        </w:tc>
        <w:tc>
          <w:tcPr>
            <w:tcW w:type="dxa" w:w="1440"/>
          </w:tcPr>
          <w:p>
            <w:r>
              <w:rPr>
                <w:rFonts w:ascii="Calibri" w:hAnsi="Calibri"/>
                <w:sz w:val="22"/>
              </w:rPr>
              <w:t>$635M</w:t>
            </w:r>
          </w:p>
        </w:tc>
        <w:tc>
          <w:tcPr>
            <w:tcW w:type="dxa" w:w="1440"/>
          </w:tcPr>
          <w:p>
            <w:r>
              <w:rPr>
                <w:rFonts w:ascii="Calibri" w:hAnsi="Calibri"/>
                <w:sz w:val="22"/>
              </w:rPr>
              <w:t>$593M</w:t>
            </w:r>
          </w:p>
        </w:tc>
        <w:tc>
          <w:tcPr>
            <w:tcW w:type="dxa" w:w="1440"/>
          </w:tcPr>
          <w:p>
            <w:r>
              <w:rPr>
                <w:rFonts w:ascii="Calibri" w:hAnsi="Calibri"/>
                <w:b/>
                <w:color w:val="30A46C"/>
                <w:sz w:val="22"/>
              </w:rPr>
              <w:t>+7.1%</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LV Revenue</w:t>
            </w:r>
          </w:p>
        </w:tc>
        <w:tc>
          <w:tcPr>
            <w:tcW w:type="dxa" w:w="1440"/>
          </w:tcPr>
          <w:p>
            <w:r>
              <w:rPr>
                <w:rFonts w:ascii="Calibri" w:hAnsi="Calibri"/>
                <w:sz w:val="22"/>
              </w:rPr>
              <w:t>$2,166M</w:t>
            </w:r>
          </w:p>
        </w:tc>
        <w:tc>
          <w:tcPr>
            <w:tcW w:type="dxa" w:w="1440"/>
          </w:tcPr>
          <w:p>
            <w:r>
              <w:rPr>
                <w:rFonts w:ascii="Calibri" w:hAnsi="Calibri"/>
                <w:sz w:val="22"/>
              </w:rPr>
              <w:t>$2,157M</w:t>
            </w:r>
          </w:p>
        </w:tc>
        <w:tc>
          <w:tcPr>
            <w:tcW w:type="dxa" w:w="1440"/>
          </w:tcPr>
          <w:p>
            <w:r>
              <w:rPr>
                <w:rFonts w:ascii="Calibri" w:hAnsi="Calibri"/>
                <w:b/>
                <w:color w:val="30A46C"/>
                <w:sz w:val="22"/>
              </w:rPr>
              <w:t>+0.4%</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Adj. EBITDA</w:t>
            </w:r>
          </w:p>
        </w:tc>
        <w:tc>
          <w:tcPr>
            <w:tcW w:type="dxa" w:w="1440"/>
          </w:tcPr>
          <w:p>
            <w:r>
              <w:rPr>
                <w:rFonts w:ascii="Calibri" w:hAnsi="Calibri"/>
                <w:sz w:val="22"/>
              </w:rPr>
              <w:t>$506M</w:t>
            </w:r>
          </w:p>
        </w:tc>
        <w:tc>
          <w:tcPr>
            <w:tcW w:type="dxa" w:w="1440"/>
          </w:tcPr>
          <w:p>
            <w:r>
              <w:rPr>
                <w:rFonts w:ascii="Calibri" w:hAnsi="Calibri"/>
                <w:sz w:val="22"/>
              </w:rPr>
              <w:t>$538M</w:t>
            </w:r>
          </w:p>
        </w:tc>
        <w:tc>
          <w:tcPr>
            <w:tcW w:type="dxa" w:w="1440"/>
          </w:tcPr>
          <w:p>
            <w:r>
              <w:rPr>
                <w:rFonts w:ascii="Calibri" w:hAnsi="Calibri"/>
                <w:b/>
                <w:color w:val="E5484D"/>
                <w:sz w:val="22"/>
              </w:rPr>
              <w:t>-6.0%</w:t>
            </w:r>
          </w:p>
        </w:tc>
        <w:tc>
          <w:tcPr>
            <w:tcW w:type="dxa" w:w="1440"/>
          </w:tcPr>
          <w:p>
            <w:r>
              <w:rPr>
                <w:rFonts w:ascii="Calibri" w:hAnsi="Calibri"/>
                <w:sz w:val="22"/>
              </w:rPr>
              <w:t>Miss</w:t>
            </w:r>
          </w:p>
        </w:tc>
      </w:tr>
      <w:tr>
        <w:tc>
          <w:tcPr>
            <w:tcW w:type="dxa" w:w="1440"/>
          </w:tcPr>
          <w:p>
            <w:r>
              <w:rPr>
                <w:rFonts w:ascii="Calibri" w:hAnsi="Calibri"/>
                <w:sz w:val="22"/>
              </w:rPr>
              <w:t>Q3 2025</w:t>
            </w:r>
          </w:p>
        </w:tc>
        <w:tc>
          <w:tcPr>
            <w:tcW w:type="dxa" w:w="1440"/>
          </w:tcPr>
          <w:p>
            <w:r>
              <w:rPr>
                <w:rFonts w:ascii="Calibri" w:hAnsi="Calibri"/>
                <w:sz w:val="22"/>
              </w:rPr>
              <w:t>LV Revenue</w:t>
            </w:r>
          </w:p>
        </w:tc>
        <w:tc>
          <w:tcPr>
            <w:tcW w:type="dxa" w:w="1440"/>
          </w:tcPr>
          <w:p>
            <w:r>
              <w:rPr>
                <w:rFonts w:ascii="Calibri" w:hAnsi="Calibri"/>
                <w:sz w:val="22"/>
              </w:rPr>
              <w:t>$1,985M</w:t>
            </w:r>
          </w:p>
        </w:tc>
        <w:tc>
          <w:tcPr>
            <w:tcW w:type="dxa" w:w="1440"/>
          </w:tcPr>
          <w:p>
            <w:r>
              <w:rPr>
                <w:rFonts w:ascii="Calibri" w:hAnsi="Calibri"/>
                <w:sz w:val="22"/>
              </w:rPr>
              <w:t>$2,034M</w:t>
            </w:r>
          </w:p>
        </w:tc>
        <w:tc>
          <w:tcPr>
            <w:tcW w:type="dxa" w:w="1440"/>
          </w:tcPr>
          <w:p>
            <w:r>
              <w:rPr>
                <w:rFonts w:ascii="Calibri" w:hAnsi="Calibri"/>
                <w:b/>
                <w:color w:val="E5484D"/>
                <w:sz w:val="22"/>
              </w:rPr>
              <w:t>-2.4%</w:t>
            </w:r>
          </w:p>
        </w:tc>
        <w:tc>
          <w:tcPr>
            <w:tcW w:type="dxa" w:w="1440"/>
          </w:tcPr>
          <w:p>
            <w:r>
              <w:rPr>
                <w:rFonts w:ascii="Calibri" w:hAnsi="Calibri"/>
                <w:sz w:val="22"/>
              </w:rPr>
              <w:t>Miss</w:t>
            </w:r>
          </w:p>
        </w:tc>
      </w:tr>
      <w:tr>
        <w:tc>
          <w:tcPr>
            <w:tcW w:type="dxa" w:w="1440"/>
          </w:tcPr>
          <w:p>
            <w:r>
              <w:rPr>
                <w:rFonts w:ascii="Calibri" w:hAnsi="Calibri"/>
                <w:sz w:val="22"/>
              </w:rPr>
              <w:t>Q2 2025</w:t>
            </w:r>
          </w:p>
        </w:tc>
        <w:tc>
          <w:tcPr>
            <w:tcW w:type="dxa" w:w="1440"/>
          </w:tcPr>
          <w:p>
            <w:r>
              <w:rPr>
                <w:rFonts w:ascii="Calibri" w:hAnsi="Calibri"/>
                <w:sz w:val="22"/>
              </w:rPr>
              <w:t>Adj. EBITDA</w:t>
            </w:r>
          </w:p>
        </w:tc>
        <w:tc>
          <w:tcPr>
            <w:tcW w:type="dxa" w:w="1440"/>
          </w:tcPr>
          <w:p>
            <w:r>
              <w:rPr>
                <w:rFonts w:ascii="Calibri" w:hAnsi="Calibri"/>
                <w:sz w:val="22"/>
              </w:rPr>
              <w:t>$648M</w:t>
            </w:r>
          </w:p>
        </w:tc>
        <w:tc>
          <w:tcPr>
            <w:tcW w:type="dxa" w:w="1440"/>
          </w:tcPr>
          <w:p>
            <w:r>
              <w:rPr>
                <w:rFonts w:ascii="Calibri" w:hAnsi="Calibri"/>
                <w:sz w:val="22"/>
              </w:rPr>
              <w:t>$599M</w:t>
            </w:r>
          </w:p>
        </w:tc>
        <w:tc>
          <w:tcPr>
            <w:tcW w:type="dxa" w:w="1440"/>
          </w:tcPr>
          <w:p>
            <w:r>
              <w:rPr>
                <w:rFonts w:ascii="Calibri" w:hAnsi="Calibri"/>
                <w:b/>
                <w:color w:val="30A46C"/>
                <w:sz w:val="22"/>
              </w:rPr>
              <w:t>+8.2%</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LV Revenue</w:t>
            </w:r>
          </w:p>
        </w:tc>
        <w:tc>
          <w:tcPr>
            <w:tcW w:type="dxa" w:w="1440"/>
          </w:tcPr>
          <w:p>
            <w:r>
              <w:rPr>
                <w:rFonts w:ascii="Calibri" w:hAnsi="Calibri"/>
                <w:sz w:val="22"/>
              </w:rPr>
              <w:t>$2,115M</w:t>
            </w:r>
          </w:p>
        </w:tc>
        <w:tc>
          <w:tcPr>
            <w:tcW w:type="dxa" w:w="1440"/>
          </w:tcPr>
          <w:p>
            <w:r>
              <w:rPr>
                <w:rFonts w:ascii="Calibri" w:hAnsi="Calibri"/>
                <w:sz w:val="22"/>
              </w:rPr>
              <w:t>$2,151M</w:t>
            </w:r>
          </w:p>
        </w:tc>
        <w:tc>
          <w:tcPr>
            <w:tcW w:type="dxa" w:w="1440"/>
          </w:tcPr>
          <w:p>
            <w:r>
              <w:rPr>
                <w:rFonts w:ascii="Calibri" w:hAnsi="Calibri"/>
                <w:b/>
                <w:color w:val="E5484D"/>
                <w:sz w:val="22"/>
              </w:rPr>
              <w:t>-1.7%</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Adj. EBITDA</w:t>
            </w:r>
          </w:p>
        </w:tc>
        <w:tc>
          <w:tcPr>
            <w:tcW w:type="dxa" w:w="1440"/>
          </w:tcPr>
          <w:p>
            <w:r>
              <w:rPr>
                <w:rFonts w:ascii="Calibri" w:hAnsi="Calibri"/>
                <w:sz w:val="22"/>
              </w:rPr>
              <w:t>$637M</w:t>
            </w:r>
          </w:p>
        </w:tc>
        <w:tc>
          <w:tcPr>
            <w:tcW w:type="dxa" w:w="1440"/>
          </w:tcPr>
          <w:p>
            <w:r>
              <w:rPr>
                <w:rFonts w:ascii="Calibri" w:hAnsi="Calibri"/>
                <w:sz w:val="22"/>
              </w:rPr>
              <w:t>$575M</w:t>
            </w:r>
          </w:p>
        </w:tc>
        <w:tc>
          <w:tcPr>
            <w:tcW w:type="dxa" w:w="1440"/>
          </w:tcPr>
          <w:p>
            <w:r>
              <w:rPr>
                <w:rFonts w:ascii="Calibri" w:hAnsi="Calibri"/>
                <w:b/>
                <w:color w:val="30A46C"/>
                <w:sz w:val="22"/>
              </w:rPr>
              <w:t>+10.8%</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LV Revenue</w:t>
            </w:r>
          </w:p>
        </w:tc>
        <w:tc>
          <w:tcPr>
            <w:tcW w:type="dxa" w:w="1440"/>
          </w:tcPr>
          <w:p>
            <w:r>
              <w:rPr>
                <w:rFonts w:ascii="Calibri" w:hAnsi="Calibri"/>
                <w:sz w:val="22"/>
              </w:rPr>
              <w:t>$2,176M</w:t>
            </w:r>
          </w:p>
        </w:tc>
        <w:tc>
          <w:tcPr>
            <w:tcW w:type="dxa" w:w="1440"/>
          </w:tcPr>
          <w:p>
            <w:r>
              <w:rPr>
                <w:rFonts w:ascii="Calibri" w:hAnsi="Calibri"/>
                <w:sz w:val="22"/>
              </w:rPr>
              <w:t>$2,186M</w:t>
            </w:r>
          </w:p>
        </w:tc>
        <w:tc>
          <w:tcPr>
            <w:tcW w:type="dxa" w:w="1440"/>
          </w:tcPr>
          <w:p>
            <w:r>
              <w:rPr>
                <w:rFonts w:ascii="Calibri" w:hAnsi="Calibri"/>
                <w:b/>
                <w:color w:val="E5484D"/>
                <w:sz w:val="22"/>
              </w:rPr>
              <w:t>-0.5%</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Adj. EBITDA</w:t>
            </w:r>
          </w:p>
        </w:tc>
        <w:tc>
          <w:tcPr>
            <w:tcW w:type="dxa" w:w="1440"/>
          </w:tcPr>
          <w:p>
            <w:r>
              <w:rPr>
                <w:rFonts w:ascii="Calibri" w:hAnsi="Calibri"/>
                <w:sz w:val="22"/>
              </w:rPr>
              <w:t>$528M</w:t>
            </w:r>
          </w:p>
        </w:tc>
        <w:tc>
          <w:tcPr>
            <w:tcW w:type="dxa" w:w="1440"/>
          </w:tcPr>
          <w:p>
            <w:r>
              <w:rPr>
                <w:rFonts w:ascii="Calibri" w:hAnsi="Calibri"/>
                <w:sz w:val="22"/>
              </w:rPr>
              <w:t>$522M</w:t>
            </w:r>
          </w:p>
        </w:tc>
        <w:tc>
          <w:tcPr>
            <w:tcW w:type="dxa" w:w="1440"/>
          </w:tcPr>
          <w:p>
            <w:r>
              <w:rPr>
                <w:rFonts w:ascii="Calibri" w:hAnsi="Calibri"/>
                <w:b/>
                <w:color w:val="30A46C"/>
                <w:sz w:val="22"/>
              </w:rPr>
              <w:t>+1.2%</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LV Revenue</w:t>
            </w:r>
          </w:p>
        </w:tc>
        <w:tc>
          <w:tcPr>
            <w:tcW w:type="dxa" w:w="1440"/>
          </w:tcPr>
          <w:p>
            <w:r>
              <w:rPr>
                <w:rFonts w:ascii="Calibri" w:hAnsi="Calibri"/>
                <w:sz w:val="22"/>
              </w:rPr>
              <w:t>$2,223M</w:t>
            </w:r>
          </w:p>
        </w:tc>
        <w:tc>
          <w:tcPr>
            <w:tcW w:type="dxa" w:w="1440"/>
          </w:tcPr>
          <w:p>
            <w:r>
              <w:rPr>
                <w:rFonts w:ascii="Calibri" w:hAnsi="Calibri"/>
                <w:sz w:val="22"/>
              </w:rPr>
              <w:t>$2,231M</w:t>
            </w:r>
          </w:p>
        </w:tc>
        <w:tc>
          <w:tcPr>
            <w:tcW w:type="dxa" w:w="1440"/>
          </w:tcPr>
          <w:p>
            <w:r>
              <w:rPr>
                <w:rFonts w:ascii="Calibri" w:hAnsi="Calibri"/>
                <w:b/>
                <w:color w:val="E5484D"/>
                <w:sz w:val="22"/>
              </w:rPr>
              <w:t>-0.4%</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Adj. EBITDA</w:t>
            </w:r>
          </w:p>
        </w:tc>
        <w:tc>
          <w:tcPr>
            <w:tcW w:type="dxa" w:w="1440"/>
          </w:tcPr>
          <w:p>
            <w:r>
              <w:rPr>
                <w:rFonts w:ascii="Calibri" w:hAnsi="Calibri"/>
                <w:sz w:val="22"/>
              </w:rPr>
              <w:t>$574M</w:t>
            </w:r>
          </w:p>
        </w:tc>
        <w:tc>
          <w:tcPr>
            <w:tcW w:type="dxa" w:w="1440"/>
          </w:tcPr>
          <w:p>
            <w:r>
              <w:rPr>
                <w:rFonts w:ascii="Calibri" w:hAnsi="Calibri"/>
                <w:sz w:val="22"/>
              </w:rPr>
              <w:t>$619M</w:t>
            </w:r>
          </w:p>
        </w:tc>
        <w:tc>
          <w:tcPr>
            <w:tcW w:type="dxa" w:w="1440"/>
          </w:tcPr>
          <w:p>
            <w:r>
              <w:rPr>
                <w:rFonts w:ascii="Calibri" w:hAnsi="Calibri"/>
                <w:b/>
                <w:color w:val="E5484D"/>
                <w:sz w:val="22"/>
              </w:rPr>
              <w:t>-7.3%</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LV Revenue</w:t>
            </w:r>
          </w:p>
        </w:tc>
        <w:tc>
          <w:tcPr>
            <w:tcW w:type="dxa" w:w="1440"/>
          </w:tcPr>
          <w:p>
            <w:r>
              <w:rPr>
                <w:rFonts w:ascii="Calibri" w:hAnsi="Calibri"/>
                <w:sz w:val="22"/>
              </w:rPr>
              <w:t>$2,132M</w:t>
            </w:r>
          </w:p>
        </w:tc>
        <w:tc>
          <w:tcPr>
            <w:tcW w:type="dxa" w:w="1440"/>
          </w:tcPr>
          <w:p>
            <w:r>
              <w:rPr>
                <w:rFonts w:ascii="Calibri" w:hAnsi="Calibri"/>
                <w:sz w:val="22"/>
              </w:rPr>
              <w:t>$2,155M</w:t>
            </w:r>
          </w:p>
        </w:tc>
        <w:tc>
          <w:tcPr>
            <w:tcW w:type="dxa" w:w="1440"/>
          </w:tcPr>
          <w:p>
            <w:r>
              <w:rPr>
                <w:rFonts w:ascii="Calibri" w:hAnsi="Calibri"/>
                <w:b/>
                <w:color w:val="E5484D"/>
                <w:sz w:val="22"/>
              </w:rPr>
              <w:t>-1.1%</w:t>
            </w:r>
          </w:p>
        </w:tc>
        <w:tc>
          <w:tcPr>
            <w:tcW w:type="dxa" w:w="1440"/>
          </w:tcPr>
          <w:p>
            <w:r>
              <w:rPr>
                <w:rFonts w:ascii="Calibri" w:hAnsi="Calibri"/>
                <w:sz w:val="22"/>
              </w:rPr>
              <w:t>Miss</w:t>
            </w:r>
          </w:p>
        </w:tc>
      </w:tr>
      <w:tr>
        <w:tc>
          <w:tcPr>
            <w:tcW w:type="dxa" w:w="1440"/>
          </w:tcPr>
          <w:p>
            <w:r>
              <w:rPr>
                <w:rFonts w:ascii="Calibri" w:hAnsi="Calibri"/>
                <w:sz w:val="22"/>
              </w:rPr>
              <w:t>Q2 2024</w:t>
            </w:r>
          </w:p>
        </w:tc>
        <w:tc>
          <w:tcPr>
            <w:tcW w:type="dxa" w:w="1440"/>
          </w:tcPr>
          <w:p>
            <w:r>
              <w:rPr>
                <w:rFonts w:ascii="Calibri" w:hAnsi="Calibri"/>
                <w:sz w:val="22"/>
              </w:rPr>
              <w:t>Adj. EBITDA</w:t>
            </w:r>
          </w:p>
        </w:tc>
        <w:tc>
          <w:tcPr>
            <w:tcW w:type="dxa" w:w="1440"/>
          </w:tcPr>
          <w:p>
            <w:r>
              <w:rPr>
                <w:rFonts w:ascii="Calibri" w:hAnsi="Calibri"/>
                <w:sz w:val="22"/>
              </w:rPr>
              <w:t>$635M</w:t>
            </w:r>
          </w:p>
        </w:tc>
        <w:tc>
          <w:tcPr>
            <w:tcW w:type="dxa" w:w="1440"/>
          </w:tcPr>
          <w:p>
            <w:r>
              <w:rPr>
                <w:rFonts w:ascii="Calibri" w:hAnsi="Calibri"/>
                <w:sz w:val="22"/>
              </w:rPr>
              <w:t>$600M</w:t>
            </w:r>
          </w:p>
        </w:tc>
        <w:tc>
          <w:tcPr>
            <w:tcW w:type="dxa" w:w="1440"/>
          </w:tcPr>
          <w:p>
            <w:r>
              <w:rPr>
                <w:rFonts w:ascii="Calibri" w:hAnsi="Calibri"/>
                <w:b/>
                <w:color w:val="30A46C"/>
                <w:sz w:val="22"/>
              </w:rPr>
              <w:t>+5.9%</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LV Revenue</w:t>
            </w:r>
          </w:p>
        </w:tc>
        <w:tc>
          <w:tcPr>
            <w:tcW w:type="dxa" w:w="1440"/>
          </w:tcPr>
          <w:p>
            <w:r>
              <w:rPr>
                <w:rFonts w:ascii="Calibri" w:hAnsi="Calibri"/>
                <w:sz w:val="22"/>
              </w:rPr>
              <w:t>$2,205M</w:t>
            </w:r>
          </w:p>
        </w:tc>
        <w:tc>
          <w:tcPr>
            <w:tcW w:type="dxa" w:w="1440"/>
          </w:tcPr>
          <w:p>
            <w:r>
              <w:rPr>
                <w:rFonts w:ascii="Calibri" w:hAnsi="Calibri"/>
                <w:sz w:val="22"/>
              </w:rPr>
              <w:t>$2,175M</w:t>
            </w:r>
          </w:p>
        </w:tc>
        <w:tc>
          <w:tcPr>
            <w:tcW w:type="dxa" w:w="1440"/>
          </w:tcPr>
          <w:p>
            <w:r>
              <w:rPr>
                <w:rFonts w:ascii="Calibri" w:hAnsi="Calibri"/>
                <w:b/>
                <w:color w:val="30A46C"/>
                <w:sz w:val="22"/>
              </w:rPr>
              <w:t>+1.4%</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MGM has beaten Adjusted EBITDA consensus in 5 of the last 8 quarters, but Las Vegas Revenue has missed in 6 of the last 8 — the Strip top-line has been the persistent soft spot even when EBITDA beats, often driven by one-time items or favorable hold rather than clean operational outperformance.</w:t>
      </w:r>
      <w:r>
        <w:rPr>
          <w:rFonts w:ascii="Calibri" w:hAnsi="Calibri"/>
          <w:i/>
          <w:color w:val="525866"/>
          <w:sz w:val="22"/>
        </w:rPr>
        <w:t xml:space="preserve"> Source: Visible Alpha Consensus and Actuals Data.</w:t>
      </w:r>
    </w:p>
    <w:p>
      <w:r>
        <w:br w:type="page"/>
      </w:r>
    </w:p>
    <w:p>
      <w:pPr>
        <w:pStyle w:val="Heading2"/>
      </w:pPr>
      <w:r>
        <w:rPr>
          <w:rFonts w:ascii="Calibri" w:hAnsi="Calibri"/>
          <w:b/>
          <w:color w:val="3B4259"/>
          <w:sz w:val="28"/>
        </w:rPr>
        <w:t>Guidance &amp; Commentary Evolution</w:t>
      </w:r>
    </w:p>
    <w:p>
      <w:r>
        <w:rPr>
          <w:rFonts w:ascii="Calibri" w:hAnsi="Calibri"/>
          <w:b/>
          <w:color w:val="525866"/>
          <w:sz w:val="22"/>
        </w:rPr>
        <w:t xml:space="preserve">Key Takeaway: </w:t>
      </w:r>
      <w:r>
        <w:rPr>
          <w:rFonts w:ascii="Calibri" w:hAnsi="Calibri"/>
          <w:color w:val="525866"/>
          <w:sz w:val="22"/>
        </w:rPr>
        <w:t xml:space="preserve">Management's tone has been constructive but measured — the full-year revenue growth target of &gt;4% remains intact, but </w:t>
      </w:r>
      <w:r>
        <w:rPr>
          <w:rFonts w:ascii="Calibri" w:hAnsi="Calibri"/>
          <w:b/>
          <w:color w:val="525866"/>
          <w:sz w:val="22"/>
        </w:rPr>
        <w:t>BetMGM's revenue guidance was cut on the Q1 call</w:t>
      </w:r>
      <w:r>
        <w:rPr>
          <w:rFonts w:ascii="Calibri" w:hAnsi="Calibri"/>
          <w:color w:val="525866"/>
          <w:sz w:val="22"/>
        </w:rPr>
        <w:t xml:space="preserve"> (EBITDA maintained at low end), and Las Vegas growth is expected to be "tempered modestly." No post-earnings guidance revisions have been issued via 8-K or conference.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Consolidated Revenue Growth (FY2026)</w:t>
            </w:r>
          </w:p>
        </w:tc>
        <w:tc>
          <w:tcPr>
            <w:tcW w:type="dxa" w:w="1728"/>
          </w:tcPr>
          <w:p>
            <w:r>
              <w:rPr>
                <w:rFonts w:ascii="Calibri" w:hAnsi="Calibri"/>
                <w:sz w:val="22"/>
              </w:rPr>
              <w:t>&gt;4% YoY growth</w:t>
            </w:r>
          </w:p>
        </w:tc>
        <w:tc>
          <w:tcPr>
            <w:tcW w:type="dxa" w:w="1728"/>
          </w:tcPr>
          <w:p>
            <w:r>
              <w:rPr>
                <w:rFonts w:ascii="Calibri" w:hAnsi="Calibri"/>
                <w:sz w:val="22"/>
              </w:rPr>
              <w:t>—</w:t>
            </w:r>
          </w:p>
        </w:tc>
        <w:tc>
          <w:tcPr>
            <w:tcW w:type="dxa" w:w="1728"/>
          </w:tcPr>
          <w:p>
            <w:r>
              <w:rPr>
                <w:rFonts w:ascii="Calibri" w:hAnsi="Calibri"/>
                <w:sz w:val="22"/>
              </w:rPr>
              <w:t>$17.66B (+2.5% YoY est.)</w:t>
            </w:r>
          </w:p>
        </w:tc>
        <w:tc>
          <w:tcPr>
            <w:tcW w:type="dxa" w:w="1728"/>
          </w:tcPr>
          <w:p>
            <w:r>
              <w:rPr>
                <w:rFonts w:ascii="Calibri" w:hAnsi="Calibri"/>
                <w:sz w:val="22"/>
              </w:rPr>
              <w:t>Unchanged; management "remains on track for growth this year"</w:t>
            </w:r>
          </w:p>
        </w:tc>
      </w:tr>
      <w:tr>
        <w:tc>
          <w:tcPr>
            <w:tcW w:type="dxa" w:w="1728"/>
          </w:tcPr>
          <w:p>
            <w:r>
              <w:rPr>
                <w:rFonts w:ascii="Calibri" w:hAnsi="Calibri"/>
                <w:sz w:val="22"/>
              </w:rPr>
              <w:t>Las Vegas Revenue Growth (FY2026)</w:t>
            </w:r>
          </w:p>
        </w:tc>
        <w:tc>
          <w:tcPr>
            <w:tcW w:type="dxa" w:w="1728"/>
          </w:tcPr>
          <w:p>
            <w:r>
              <w:rPr>
                <w:rFonts w:ascii="Calibri" w:hAnsi="Calibri"/>
                <w:sz w:val="22"/>
              </w:rPr>
              <w:t>Growth through balance of year, "tempered modestly"</w:t>
            </w:r>
          </w:p>
        </w:tc>
        <w:tc>
          <w:tcPr>
            <w:tcW w:type="dxa" w:w="1728"/>
          </w:tcPr>
          <w:p>
            <w:r>
              <w:rPr>
                <w:rFonts w:ascii="Calibri" w:hAnsi="Calibri"/>
                <w:sz w:val="22"/>
              </w:rPr>
              <w:t>—</w:t>
            </w:r>
          </w:p>
        </w:tc>
        <w:tc>
          <w:tcPr>
            <w:tcW w:type="dxa" w:w="1728"/>
          </w:tcPr>
          <w:p>
            <w:r>
              <w:rPr>
                <w:rFonts w:ascii="Calibri" w:hAnsi="Calibri"/>
                <w:sz w:val="22"/>
              </w:rPr>
              <w:t>$8.50B (+0.1% YoY est.)</w:t>
            </w:r>
          </w:p>
        </w:tc>
        <w:tc>
          <w:tcPr>
            <w:tcW w:type="dxa" w:w="1728"/>
          </w:tcPr>
          <w:p>
            <w:r>
              <w:rPr>
                <w:rFonts w:ascii="Calibri" w:hAnsi="Calibri"/>
                <w:sz w:val="22"/>
              </w:rPr>
              <w:t>Unchanged; convention mix +200bps YoY to 20% in Q2; optimistic on year-end growth based on advanced bookings</w:t>
            </w:r>
          </w:p>
        </w:tc>
      </w:tr>
      <w:tr>
        <w:tc>
          <w:tcPr>
            <w:tcW w:type="dxa" w:w="1728"/>
          </w:tcPr>
          <w:p>
            <w:r>
              <w:rPr>
                <w:rFonts w:ascii="Calibri" w:hAnsi="Calibri"/>
                <w:sz w:val="22"/>
              </w:rPr>
              <w:t>BetMGM Revenue (FY2026)</w:t>
            </w:r>
          </w:p>
        </w:tc>
        <w:tc>
          <w:tcPr>
            <w:tcW w:type="dxa" w:w="1728"/>
          </w:tcPr>
          <w:p>
            <w:r>
              <w:rPr>
                <w:rFonts w:ascii="Calibri" w:hAnsi="Calibri"/>
                <w:sz w:val="22"/>
              </w:rPr>
              <w:t>Lowered range on Q1 call (prior range not specified; new range not disclosed publicly)</w:t>
            </w:r>
          </w:p>
        </w:tc>
        <w:tc>
          <w:tcPr>
            <w:tcW w:type="dxa" w:w="1728"/>
          </w:tcPr>
          <w:p>
            <w:r>
              <w:rPr>
                <w:rFonts w:ascii="Calibri" w:hAnsi="Calibri"/>
                <w:sz w:val="22"/>
              </w:rPr>
              <w:t>—</w:t>
            </w:r>
          </w:p>
        </w:tc>
        <w:tc>
          <w:tcPr>
            <w:tcW w:type="dxa" w:w="1728"/>
          </w:tcPr>
          <w:p>
            <w:r>
              <w:rPr>
                <w:rFonts w:ascii="Calibri" w:hAnsi="Calibri"/>
                <w:sz w:val="22"/>
              </w:rPr>
              <w:t>$3.005B</w:t>
            </w:r>
          </w:p>
        </w:tc>
        <w:tc>
          <w:tcPr>
            <w:tcW w:type="dxa" w:w="1728"/>
          </w:tcPr>
          <w:p>
            <w:r>
              <w:rPr>
                <w:rFonts w:ascii="Calibri" w:hAnsi="Calibri"/>
                <w:sz w:val="22"/>
              </w:rPr>
              <w:t>↓ Revenue guidance cut on Q1 call; cited player-friendly sports results and prediction markets competition; EBITDA maintained at low end of prior range</w:t>
            </w:r>
          </w:p>
        </w:tc>
      </w:tr>
      <w:tr>
        <w:tc>
          <w:tcPr>
            <w:tcW w:type="dxa" w:w="1728"/>
          </w:tcPr>
          <w:p>
            <w:r>
              <w:rPr>
                <w:rFonts w:ascii="Calibri" w:hAnsi="Calibri"/>
                <w:sz w:val="22"/>
              </w:rPr>
              <w:t>BetMGM EBITDA (FY2026)</w:t>
            </w:r>
          </w:p>
        </w:tc>
        <w:tc>
          <w:tcPr>
            <w:tcW w:type="dxa" w:w="1728"/>
          </w:tcPr>
          <w:p>
            <w:r>
              <w:rPr>
                <w:rFonts w:ascii="Calibri" w:hAnsi="Calibri"/>
                <w:sz w:val="22"/>
              </w:rPr>
              <w:t>Maintained at low end of prior range; path to significantly higher 2027 EBITDA target affirmed</w:t>
            </w:r>
          </w:p>
        </w:tc>
        <w:tc>
          <w:tcPr>
            <w:tcW w:type="dxa" w:w="1728"/>
          </w:tcPr>
          <w:p>
            <w:r>
              <w:rPr>
                <w:rFonts w:ascii="Calibri" w:hAnsi="Calibri"/>
                <w:sz w:val="22"/>
              </w:rPr>
              <w:t>—</w:t>
            </w:r>
          </w:p>
        </w:tc>
        <w:tc>
          <w:tcPr>
            <w:tcW w:type="dxa" w:w="1728"/>
          </w:tcPr>
          <w:p>
            <w:r>
              <w:rPr>
                <w:rFonts w:ascii="Calibri" w:hAnsi="Calibri"/>
                <w:sz w:val="22"/>
              </w:rPr>
              <w:t>$259M</w:t>
            </w:r>
          </w:p>
        </w:tc>
        <w:tc>
          <w:tcPr>
            <w:tcW w:type="dxa" w:w="1728"/>
          </w:tcPr>
          <w:p>
            <w:r>
              <w:rPr>
                <w:rFonts w:ascii="Calibri" w:hAnsi="Calibri"/>
                <w:sz w:val="22"/>
              </w:rPr>
              <w:t>Unchanged; Q2 update releasing July 28 (day before MGM print) is a live catalyst</w:t>
            </w:r>
          </w:p>
        </w:tc>
      </w:tr>
      <w:tr>
        <w:tc>
          <w:tcPr>
            <w:tcW w:type="dxa" w:w="1728"/>
          </w:tcPr>
          <w:p>
            <w:r>
              <w:rPr>
                <w:rFonts w:ascii="Calibri" w:hAnsi="Calibri"/>
                <w:sz w:val="22"/>
              </w:rPr>
              <w:t>MGM China Segment EBITDA Margin</w:t>
            </w:r>
          </w:p>
        </w:tc>
        <w:tc>
          <w:tcPr>
            <w:tcW w:type="dxa" w:w="1728"/>
          </w:tcPr>
          <w:p>
            <w:r>
              <w:rPr>
                <w:rFonts w:ascii="Calibri" w:hAnsi="Calibri"/>
                <w:sz w:val="22"/>
              </w:rPr>
              <w:t>Mid-20s (under new branding fee structure at 3.5% of revenue)</w:t>
            </w:r>
          </w:p>
        </w:tc>
        <w:tc>
          <w:tcPr>
            <w:tcW w:type="dxa" w:w="1728"/>
          </w:tcPr>
          <w:p>
            <w:r>
              <w:rPr>
                <w:rFonts w:ascii="Calibri" w:hAnsi="Calibri"/>
                <w:sz w:val="22"/>
              </w:rPr>
              <w:t>—</w:t>
            </w:r>
          </w:p>
        </w:tc>
        <w:tc>
          <w:tcPr>
            <w:tcW w:type="dxa" w:w="1728"/>
          </w:tcPr>
          <w:p>
            <w:r>
              <w:rPr>
                <w:rFonts w:ascii="Calibri" w:hAnsi="Calibri"/>
                <w:sz w:val="22"/>
              </w:rPr>
              <w:t>~24.6% implied by consensus</w:t>
            </w:r>
          </w:p>
        </w:tc>
        <w:tc>
          <w:tcPr>
            <w:tcW w:type="dxa" w:w="1728"/>
          </w:tcPr>
          <w:p>
            <w:r>
              <w:rPr>
                <w:rFonts w:ascii="Calibri" w:hAnsi="Calibri"/>
                <w:sz w:val="22"/>
              </w:rPr>
              <w:t>Unchanged; new branding fee (doubled from 1.75% to 3.5%) reduces segment EBITDAR but increases cash flow to MGM Resorts parent</w:t>
            </w:r>
          </w:p>
        </w:tc>
      </w:tr>
      <w:tr>
        <w:tc>
          <w:tcPr>
            <w:tcW w:type="dxa" w:w="1728"/>
          </w:tcPr>
          <w:p>
            <w:r>
              <w:rPr>
                <w:rFonts w:ascii="Calibri" w:hAnsi="Calibri"/>
                <w:sz w:val="22"/>
              </w:rPr>
              <w:t>MGM Digital Loss (FY2026)</w:t>
            </w:r>
          </w:p>
        </w:tc>
        <w:tc>
          <w:tcPr>
            <w:tcW w:type="dxa" w:w="1728"/>
          </w:tcPr>
          <w:p>
            <w:r>
              <w:rPr>
                <w:rFonts w:ascii="Calibri" w:hAnsi="Calibri"/>
                <w:sz w:val="22"/>
              </w:rPr>
              <w:t>Loss to "materially narrow" vs. 2025; sets up for near-breakeven in 2027</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Brazil investment may modestly exceed original guidance due to regulatory/tax/competitive developments</w:t>
            </w:r>
          </w:p>
        </w:tc>
      </w:tr>
      <w:tr>
        <w:tc>
          <w:tcPr>
            <w:tcW w:type="dxa" w:w="1728"/>
          </w:tcPr>
          <w:p>
            <w:r>
              <w:rPr>
                <w:rFonts w:ascii="Calibri" w:hAnsi="Calibri"/>
                <w:sz w:val="22"/>
              </w:rPr>
              <w:t>Japan Funding (FY2026)</w:t>
            </w:r>
          </w:p>
        </w:tc>
        <w:tc>
          <w:tcPr>
            <w:tcW w:type="dxa" w:w="1728"/>
          </w:tcPr>
          <w:p>
            <w:r>
              <w:rPr>
                <w:rFonts w:ascii="Calibri" w:hAnsi="Calibri"/>
                <w:sz w:val="22"/>
              </w:rPr>
              <w:t>~$200–$225M equity contribution for the year (after $140M in Q1)</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largely funded via yen-denominated credit facility; on time and on budget for 2030 opening</w:t>
            </w:r>
          </w:p>
        </w:tc>
      </w:tr>
    </w:tbl>
    <w:p>
      <w:pPr>
        <w:pStyle w:val="Heading2"/>
      </w:pPr>
      <w:r>
        <w:rPr>
          <w:rFonts w:ascii="Calibri" w:hAnsi="Calibri"/>
          <w:b/>
          <w:color w:val="3B4259"/>
          <w:sz w:val="28"/>
        </w:rPr>
        <w:t>Guidance vs. Estimate Revision Tracker</w:t>
      </w:r>
    </w:p>
    <w:p>
      <w:r>
        <w:rPr>
          <w:rFonts w:ascii="Calibri" w:hAnsi="Calibri"/>
          <w:b/>
          <w:color w:val="525866"/>
          <w:sz w:val="22"/>
        </w:rPr>
        <w:t xml:space="preserve">Key Takeaway: </w:t>
      </w:r>
      <w:r>
        <w:rPr>
          <w:rFonts w:ascii="Calibri" w:hAnsi="Calibri"/>
          <w:b/>
          <w:color w:val="525866"/>
          <w:sz w:val="22"/>
        </w:rPr>
        <w:t xml:space="preserve">Estimates for Q2 2026 have been revised slightly </w:t>
      </w:r>
      <w:r>
        <w:rPr>
          <w:rFonts w:ascii="Calibri" w:hAnsi="Calibri"/>
          <w:b/>
          <w:color w:val="E5484D"/>
          <w:sz w:val="22"/>
        </w:rPr>
        <w:t>downward</w:t>
      </w:r>
      <w:r>
        <w:rPr>
          <w:rFonts w:ascii="Calibri" w:hAnsi="Calibri"/>
          <w:color w:val="525866"/>
          <w:sz w:val="22"/>
        </w:rPr>
        <w:t xml:space="preserve"> since the Q1 print (Adjusted EBITDA -1.3%, LV Revenue -0.5%), consistent with management's "tempered modestly" language on Las Vegas; the FY2026 EBITDA estimate has also drifted lower (-1.4%), suggesting the street is not giving full credit to the BetMGM EBITDA ramp or the Northfield Park proceeds redeployment.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4, 2026)</w:t>
            </w:r>
          </w:p>
        </w:tc>
        <w:tc>
          <w:tcPr>
            <w:tcW w:type="dxa" w:w="1080"/>
            <w:shd w:val="clear" w:color="auto" w:fill="3B4259"/>
          </w:tcPr>
          <w:p>
            <w:r>
              <w:rPr>
                <w:rFonts w:ascii="Calibri" w:hAnsi="Calibri"/>
                <w:b/>
                <w:color w:val="FFFFFF"/>
                <w:sz w:val="22"/>
              </w:rPr>
              <w:t>Current Consensus (Jul 27,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Adj. EBITDA (Q2 2026)</w:t>
            </w:r>
          </w:p>
        </w:tc>
        <w:tc>
          <w:tcPr>
            <w:tcW w:type="dxa" w:w="1080"/>
          </w:tcPr>
          <w:p>
            <w:r>
              <w:rPr>
                <w:rFonts w:ascii="Calibri" w:hAnsi="Calibri"/>
                <w:sz w:val="22"/>
              </w:rPr>
              <w:t>$631M</w:t>
            </w:r>
          </w:p>
        </w:tc>
        <w:tc>
          <w:tcPr>
            <w:tcW w:type="dxa" w:w="1080"/>
          </w:tcPr>
          <w:p>
            <w:r>
              <w:rPr>
                <w:rFonts w:ascii="Calibri" w:hAnsi="Calibri"/>
                <w:sz w:val="22"/>
              </w:rPr>
              <w:t>$623M</w:t>
            </w:r>
          </w:p>
        </w:tc>
        <w:tc>
          <w:tcPr>
            <w:tcW w:type="dxa" w:w="1080"/>
          </w:tcPr>
          <w:p>
            <w:r>
              <w:rPr>
                <w:rFonts w:ascii="Calibri" w:hAnsi="Calibri"/>
                <w:b/>
                <w:color w:val="E5484D"/>
                <w:sz w:val="22"/>
              </w:rPr>
              <w:t>-1.3%</w:t>
            </w:r>
          </w:p>
        </w:tc>
        <w:tc>
          <w:tcPr>
            <w:tcW w:type="dxa" w:w="1080"/>
          </w:tcPr>
          <w:p>
            <w:r>
              <w:rPr>
                <w:rFonts w:ascii="Calibri" w:hAnsi="Calibri"/>
                <w:sz w:val="22"/>
              </w:rPr>
              <w:t>No specific Q2 guidance</w:t>
            </w:r>
          </w:p>
        </w:tc>
        <w:tc>
          <w:tcPr>
            <w:tcW w:type="dxa" w:w="1080"/>
          </w:tcPr>
          <w:p>
            <w:r>
              <w:rPr>
                <w:rFonts w:ascii="Calibri" w:hAnsi="Calibri"/>
                <w:sz w:val="22"/>
              </w:rPr>
              <w:t>No specific Q2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Las Vegas Revenue (Q2 2026)</w:t>
            </w:r>
          </w:p>
        </w:tc>
        <w:tc>
          <w:tcPr>
            <w:tcW w:type="dxa" w:w="1080"/>
          </w:tcPr>
          <w:p>
            <w:r>
              <w:rPr>
                <w:rFonts w:ascii="Calibri" w:hAnsi="Calibri"/>
                <w:sz w:val="22"/>
              </w:rPr>
              <w:t>$2,132M</w:t>
            </w:r>
          </w:p>
        </w:tc>
        <w:tc>
          <w:tcPr>
            <w:tcW w:type="dxa" w:w="1080"/>
          </w:tcPr>
          <w:p>
            <w:r>
              <w:rPr>
                <w:rFonts w:ascii="Calibri" w:hAnsi="Calibri"/>
                <w:sz w:val="22"/>
              </w:rPr>
              <w:t>$2,143M</w:t>
            </w:r>
          </w:p>
        </w:tc>
        <w:tc>
          <w:tcPr>
            <w:tcW w:type="dxa" w:w="1080"/>
          </w:tcPr>
          <w:p>
            <w:r>
              <w:rPr>
                <w:rFonts w:ascii="Calibri" w:hAnsi="Calibri"/>
                <w:b/>
                <w:color w:val="30A46C"/>
                <w:sz w:val="22"/>
              </w:rPr>
              <w:t>+0.5%</w:t>
            </w:r>
          </w:p>
        </w:tc>
        <w:tc>
          <w:tcPr>
            <w:tcW w:type="dxa" w:w="1080"/>
          </w:tcPr>
          <w:p>
            <w:r>
              <w:rPr>
                <w:rFonts w:ascii="Calibri" w:hAnsi="Calibri"/>
                <w:sz w:val="22"/>
              </w:rPr>
              <w:t>Growth, tempered modestly; convention mix +200bps to 20%</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Tracking guidance</w:t>
            </w:r>
          </w:p>
        </w:tc>
      </w:tr>
      <w:tr>
        <w:tc>
          <w:tcPr>
            <w:tcW w:type="dxa" w:w="1080"/>
          </w:tcPr>
          <w:p>
            <w:r>
              <w:rPr>
                <w:rFonts w:ascii="Calibri" w:hAnsi="Calibri"/>
                <w:sz w:val="22"/>
              </w:rPr>
              <w:t>MGM China Revenue (Q2 2026)</w:t>
            </w:r>
          </w:p>
        </w:tc>
        <w:tc>
          <w:tcPr>
            <w:tcW w:type="dxa" w:w="1080"/>
          </w:tcPr>
          <w:p>
            <w:r>
              <w:rPr>
                <w:rFonts w:ascii="Calibri" w:hAnsi="Calibri"/>
                <w:sz w:val="22"/>
              </w:rPr>
              <w:t>$1,163M</w:t>
            </w:r>
          </w:p>
        </w:tc>
        <w:tc>
          <w:tcPr>
            <w:tcW w:type="dxa" w:w="1080"/>
          </w:tcPr>
          <w:p>
            <w:r>
              <w:rPr>
                <w:rFonts w:ascii="Calibri" w:hAnsi="Calibri"/>
                <w:sz w:val="22"/>
              </w:rPr>
              <w:t>$1,129M</w:t>
            </w:r>
          </w:p>
        </w:tc>
        <w:tc>
          <w:tcPr>
            <w:tcW w:type="dxa" w:w="1080"/>
          </w:tcPr>
          <w:p>
            <w:r>
              <w:rPr>
                <w:rFonts w:ascii="Calibri" w:hAnsi="Calibri"/>
                <w:b/>
                <w:color w:val="E5484D"/>
                <w:sz w:val="22"/>
              </w:rPr>
              <w:t>-2.9%</w:t>
            </w:r>
          </w:p>
        </w:tc>
        <w:tc>
          <w:tcPr>
            <w:tcW w:type="dxa" w:w="1080"/>
          </w:tcPr>
          <w:p>
            <w:r>
              <w:rPr>
                <w:rFonts w:ascii="Calibri" w:hAnsi="Calibri"/>
                <w:sz w:val="22"/>
              </w:rPr>
              <w:t>Market share ~17% exiting Q1; mid-20s margin</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Consensus below initial post-Q1 level; World Cup risk in June</w:t>
            </w:r>
          </w:p>
        </w:tc>
      </w:tr>
      <w:tr>
        <w:tc>
          <w:tcPr>
            <w:tcW w:type="dxa" w:w="1080"/>
          </w:tcPr>
          <w:p>
            <w:r>
              <w:rPr>
                <w:rFonts w:ascii="Calibri" w:hAnsi="Calibri"/>
                <w:sz w:val="22"/>
              </w:rPr>
              <w:t>BetMGM Revenue (Q2 2026)</w:t>
            </w:r>
          </w:p>
        </w:tc>
        <w:tc>
          <w:tcPr>
            <w:tcW w:type="dxa" w:w="1080"/>
          </w:tcPr>
          <w:p>
            <w:r>
              <w:rPr>
                <w:rFonts w:ascii="Calibri" w:hAnsi="Calibri"/>
                <w:sz w:val="22"/>
              </w:rPr>
              <w:t>$755M</w:t>
            </w:r>
          </w:p>
        </w:tc>
        <w:tc>
          <w:tcPr>
            <w:tcW w:type="dxa" w:w="1080"/>
          </w:tcPr>
          <w:p>
            <w:r>
              <w:rPr>
                <w:rFonts w:ascii="Calibri" w:hAnsi="Calibri"/>
                <w:sz w:val="22"/>
              </w:rPr>
              <w:t>$745M</w:t>
            </w:r>
          </w:p>
        </w:tc>
        <w:tc>
          <w:tcPr>
            <w:tcW w:type="dxa" w:w="1080"/>
          </w:tcPr>
          <w:p>
            <w:r>
              <w:rPr>
                <w:rFonts w:ascii="Calibri" w:hAnsi="Calibri"/>
                <w:b/>
                <w:color w:val="E5484D"/>
                <w:sz w:val="22"/>
              </w:rPr>
              <w:t>-1.3%</w:t>
            </w:r>
          </w:p>
        </w:tc>
        <w:tc>
          <w:tcPr>
            <w:tcW w:type="dxa" w:w="1080"/>
          </w:tcPr>
          <w:p>
            <w:r>
              <w:rPr>
                <w:rFonts w:ascii="Calibri" w:hAnsi="Calibri"/>
                <w:sz w:val="22"/>
              </w:rPr>
              <w:t>FY revenue guidance lowered on Q1 call</w:t>
            </w:r>
          </w:p>
        </w:tc>
        <w:tc>
          <w:tcPr>
            <w:tcW w:type="dxa" w:w="1080"/>
          </w:tcPr>
          <w:p>
            <w:r>
              <w:rPr>
                <w:rFonts w:ascii="Calibri" w:hAnsi="Calibri"/>
                <w:sz w:val="22"/>
              </w:rPr>
              <w:t>Lowered</w:t>
            </w:r>
          </w:p>
        </w:tc>
        <w:tc>
          <w:tcPr>
            <w:tcW w:type="dxa" w:w="1080"/>
          </w:tcPr>
          <w:p>
            <w:r>
              <w:rPr>
                <w:rFonts w:ascii="Calibri" w:hAnsi="Calibri"/>
                <w:sz w:val="22"/>
              </w:rPr>
              <w:t>↓ Cut</w:t>
            </w:r>
          </w:p>
        </w:tc>
        <w:tc>
          <w:tcPr>
            <w:tcW w:type="dxa" w:w="1080"/>
          </w:tcPr>
          <w:p>
            <w:r>
              <w:rPr>
                <w:rFonts w:ascii="Calibri" w:hAnsi="Calibri"/>
                <w:sz w:val="22"/>
              </w:rPr>
              <w:t>Consensus tracking lower guidance</w:t>
            </w:r>
          </w:p>
        </w:tc>
      </w:tr>
      <w:tr>
        <w:tc>
          <w:tcPr>
            <w:tcW w:type="dxa" w:w="1080"/>
          </w:tcPr>
          <w:p>
            <w:r>
              <w:rPr>
                <w:rFonts w:ascii="Calibri" w:hAnsi="Calibri"/>
                <w:sz w:val="22"/>
              </w:rPr>
              <w:t>Adj. EBITDA (FY2026)</w:t>
            </w:r>
          </w:p>
        </w:tc>
        <w:tc>
          <w:tcPr>
            <w:tcW w:type="dxa" w:w="1080"/>
          </w:tcPr>
          <w:p>
            <w:r>
              <w:rPr>
                <w:rFonts w:ascii="Calibri" w:hAnsi="Calibri"/>
                <w:sz w:val="22"/>
              </w:rPr>
              <w:t>$2,348M</w:t>
            </w:r>
          </w:p>
        </w:tc>
        <w:tc>
          <w:tcPr>
            <w:tcW w:type="dxa" w:w="1080"/>
          </w:tcPr>
          <w:p>
            <w:r>
              <w:rPr>
                <w:rFonts w:ascii="Calibri" w:hAnsi="Calibri"/>
                <w:sz w:val="22"/>
              </w:rPr>
              <w:t>$2,316M</w:t>
            </w:r>
          </w:p>
        </w:tc>
        <w:tc>
          <w:tcPr>
            <w:tcW w:type="dxa" w:w="1080"/>
          </w:tcPr>
          <w:p>
            <w:r>
              <w:rPr>
                <w:rFonts w:ascii="Calibri" w:hAnsi="Calibri"/>
                <w:b/>
                <w:color w:val="E5484D"/>
                <w:sz w:val="22"/>
              </w:rPr>
              <w:t>-1.4%</w:t>
            </w:r>
          </w:p>
        </w:tc>
        <w:tc>
          <w:tcPr>
            <w:tcW w:type="dxa" w:w="1080"/>
          </w:tcPr>
          <w:p>
            <w:r>
              <w:rPr>
                <w:rFonts w:ascii="Calibri" w:hAnsi="Calibri"/>
                <w:sz w:val="22"/>
              </w:rPr>
              <w:t>FY growth guided; on track</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Consensus slightly below implied guidance trajectory</w:t>
            </w:r>
          </w:p>
        </w:tc>
      </w:tr>
      <w:tr>
        <w:tc>
          <w:tcPr>
            <w:tcW w:type="dxa" w:w="1080"/>
          </w:tcPr>
          <w:p>
            <w:r>
              <w:rPr>
                <w:rFonts w:ascii="Calibri" w:hAnsi="Calibri"/>
                <w:sz w:val="22"/>
              </w:rPr>
              <w:t>Las Vegas Revenue (FY2026)</w:t>
            </w:r>
          </w:p>
        </w:tc>
        <w:tc>
          <w:tcPr>
            <w:tcW w:type="dxa" w:w="1080"/>
          </w:tcPr>
          <w:p>
            <w:r>
              <w:rPr>
                <w:rFonts w:ascii="Calibri" w:hAnsi="Calibri"/>
                <w:sz w:val="22"/>
              </w:rPr>
              <w:t>$8,488M</w:t>
            </w:r>
          </w:p>
        </w:tc>
        <w:tc>
          <w:tcPr>
            <w:tcW w:type="dxa" w:w="1080"/>
          </w:tcPr>
          <w:p>
            <w:r>
              <w:rPr>
                <w:rFonts w:ascii="Calibri" w:hAnsi="Calibri"/>
                <w:sz w:val="22"/>
              </w:rPr>
              <w:t>$8,499M</w:t>
            </w:r>
          </w:p>
        </w:tc>
        <w:tc>
          <w:tcPr>
            <w:tcW w:type="dxa" w:w="1080"/>
          </w:tcPr>
          <w:p>
            <w:r>
              <w:rPr>
                <w:rFonts w:ascii="Calibri" w:hAnsi="Calibri"/>
                <w:b/>
                <w:color w:val="30A46C"/>
                <w:sz w:val="22"/>
              </w:rPr>
              <w:t>+0.1%</w:t>
            </w:r>
          </w:p>
        </w:tc>
        <w:tc>
          <w:tcPr>
            <w:tcW w:type="dxa" w:w="1080"/>
          </w:tcPr>
          <w:p>
            <w:r>
              <w:rPr>
                <w:rFonts w:ascii="Calibri" w:hAnsi="Calibri"/>
                <w:sz w:val="22"/>
              </w:rPr>
              <w:t>Growth through balance of year</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Stable; tracking guidance</w:t>
            </w:r>
          </w:p>
        </w:tc>
      </w:tr>
    </w:tbl>
    <w:p>
      <w:r>
        <w:rPr>
          <w:rFonts w:ascii="Calibri" w:hAnsi="Calibri"/>
          <w:i/>
          <w:color w:val="525866"/>
          <w:sz w:val="22"/>
        </w:rPr>
        <w:t>Source: Visible Alpha Consensus and Actuals Data. Post-Q1 baseline as of May 4, 2026 (5 trading days after April 29 earnings).</w:t>
      </w:r>
    </w:p>
    <w:p>
      <w:r>
        <w:rPr>
          <w:rFonts w:ascii="Calibri" w:hAnsi="Calibri"/>
          <w:color w:val="525866"/>
          <w:sz w:val="22"/>
        </w:rPr>
        <w:t>The modest downward drift in Q2 EBITDA and MGM China estimates since the Q1 print reflects the market absorbing the World Cup headwind flagged by LVS (Macau GGR flat in Q2) and BetMGM's revenue guidance cut, while Las Vegas estimates have been stable-to-slightly-higher, consistent with management's convention-driven confidence. The gap between FY2026 EBITDA consensus ($2.32B) and the implied guidance trajectory suggests the street is not yet fully pricing in BetMGM's EBITDA ramp or the Northfield Park proceeds redeployment benefit.</w:t>
      </w:r>
    </w:p>
    <w:p>
      <w:r>
        <w:br w:type="page"/>
      </w:r>
    </w:p>
    <w:p>
      <w:pPr>
        <w:pStyle w:val="Heading2"/>
      </w:pPr>
      <w:r>
        <w:rPr>
          <w:rFonts w:ascii="Calibri" w:hAnsi="Calibri"/>
          <w:b/>
          <w:color w:val="3B4259"/>
          <w:sz w:val="28"/>
        </w:rPr>
        <w:t>Stock Performance</w:t>
      </w:r>
    </w:p>
    <w:p>
      <w:r>
        <w:rPr>
          <w:rFonts w:ascii="Calibri" w:hAnsi="Calibri"/>
          <w:b/>
          <w:color w:val="525866"/>
          <w:sz w:val="22"/>
        </w:rPr>
        <w:t xml:space="preserve">Key Takeaway: </w:t>
      </w:r>
      <w:r>
        <w:rPr>
          <w:rFonts w:ascii="Calibri" w:hAnsi="Calibri"/>
          <w:color w:val="525866"/>
          <w:sz w:val="22"/>
        </w:rPr>
        <w:t>MGM has dramatically outperformed since Q1 earnings (+17.9% vs. XLY -5.1%), but virtually all of the gain is M&amp;A-driven — the stock spiked ~30% on June 1 when People Inc. (Barry Diller) proposed a $48.30/share take-private, and has since settled just below the offer price as the market debates whether a higher bid is needed.</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MGM vs. XLY (Consumer Discretionary ETF) vs. S&amp;P 500 — Indexed to 100 at Q1 2026 Earnings (April 29, 2026). Source: Stock Price Data.</w:t>
      </w:r>
    </w:p>
    <w:p>
      <w:r>
        <w:rPr>
          <w:rFonts w:ascii="Calibri" w:hAnsi="Calibri"/>
          <w:b/>
          <w:color w:val="525866"/>
          <w:sz w:val="22"/>
        </w:rPr>
        <w:t xml:space="preserve">Sector ETF used: </w:t>
      </w:r>
      <w:r>
        <w:rPr>
          <w:rFonts w:ascii="Calibri" w:hAnsi="Calibri"/>
          <w:color w:val="525866"/>
          <w:sz w:val="22"/>
        </w:rPr>
        <w:t>XLY (Consumer Discretionary Select Sector SPDR Fund) — appropriate for MGM as a consumer discretionary gaming and hospitality company. Key events marked: People Inc. $48.30/share take-private proposal (June 1, 2026) drove the dominant move; Stifel downgrade to Hold (June 15) followed as shares traded above the offer price. MGM's +17.9% gain since Q1 earnings is entirely attributable to M&amp;A optionality, not operational re-rating — the underlying business has not materially re-rated on fundamentals. XLY declined -5.1% over the same period, making MGM's outperformance even more stark.</w:t>
      </w:r>
    </w:p>
    <w:p>
      <w:pPr>
        <w:pStyle w:val="Heading2"/>
      </w:pPr>
      <w:r>
        <w:rPr>
          <w:rFonts w:ascii="Calibri" w:hAnsi="Calibri"/>
          <w:b/>
          <w:color w:val="3B4259"/>
          <w:sz w:val="28"/>
        </w:rPr>
        <w:t>Material News &amp; Developments</w:t>
      </w:r>
    </w:p>
    <w:p>
      <w:r>
        <w:rPr>
          <w:rFonts w:ascii="Calibri" w:hAnsi="Calibri"/>
          <w:b/>
          <w:color w:val="525866"/>
          <w:sz w:val="22"/>
        </w:rPr>
        <w:t xml:space="preserve">Key Takeaway: </w:t>
      </w:r>
      <w:r>
        <w:rPr>
          <w:rFonts w:ascii="Calibri" w:hAnsi="Calibri"/>
          <w:color w:val="525866"/>
          <w:sz w:val="22"/>
        </w:rPr>
        <w:t>The dominant development since Q1 earnings is People Inc.'s $48.30/share take-private proposal (June 1), which has re-framed MGM as an M&amp;A story; the Q2 print is now secondary to deal process news, and the BetMGM Q2 update (July 28) is the most important near-term operational catalyst.</w:t>
      </w:r>
    </w:p>
    <w:p>
      <w:pPr>
        <w:pStyle w:val="ListBullet"/>
        <w:ind w:left="360" w:hanging="360"/>
      </w:pPr>
      <w:r>
        <w:rPr>
          <w:rFonts w:ascii="Calibri" w:hAnsi="Calibri"/>
          <w:b/>
          <w:color w:val="525866"/>
          <w:sz w:val="22"/>
        </w:rPr>
        <w:t>June 1, 2026 — People Inc. (Barry Diller) $48.30/share Take-Private Proposal:</w:t>
      </w:r>
      <w:r>
        <w:rPr>
          <w:rFonts w:ascii="Calibri" w:hAnsi="Calibri"/>
          <w:color w:val="525866"/>
          <w:sz w:val="22"/>
        </w:rPr>
        <w:t xml:space="preserve"> People Inc. (formerly IAC), MGM's largest single shareholder at ~26.1%, made an unsolicited bid to acquire the remaining ~73.9% of MGM at $48.30/share, valuing the company at over $18B including debt. Diller, already an MGM board member, recused himself from board deliberations. MGM's board stated it would "carefully review and consider the proposal." Law firms have launched investigations into potential fiduciary duty breaches given Diller's dual role. </w:t>
      </w:r>
    </w:p>
    <w:p>
      <w:pPr>
        <w:pStyle w:val="ListBullet"/>
        <w:ind w:left="360" w:hanging="360"/>
      </w:pPr>
      <w:r>
        <w:rPr>
          <w:rFonts w:ascii="Calibri" w:hAnsi="Calibri"/>
          <w:b/>
          <w:i/>
          <w:color w:val="525866"/>
          <w:sz w:val="22"/>
        </w:rPr>
        <w:t>Implication:</w:t>
      </w:r>
      <w:r>
        <w:rPr>
          <w:rFonts w:ascii="Calibri" w:hAnsi="Calibri"/>
          <w:i/>
          <w:color w:val="525866"/>
          <w:sz w:val="22"/>
        </w:rPr>
        <w:t xml:space="preserve"> The stock now trades as a deal-arb; shares above $48.30 imply market expects a higher bid. The Q2 print is secondary to M&amp;A process news.</w:t>
      </w:r>
    </w:p>
    <w:p>
      <w:pPr>
        <w:pStyle w:val="ListBullet"/>
        <w:ind w:left="360" w:hanging="360"/>
      </w:pPr>
      <w:r>
        <w:rPr>
          <w:rFonts w:ascii="Calibri" w:hAnsi="Calibri"/>
          <w:b/>
          <w:color w:val="525866"/>
          <w:sz w:val="22"/>
        </w:rPr>
        <w:t>June 15, 2026 — Stifel Downgrade to Hold (PT raised to $49 from $48):</w:t>
      </w:r>
      <w:r>
        <w:rPr>
          <w:rFonts w:ascii="Calibri" w:hAnsi="Calibri"/>
          <w:color w:val="525866"/>
          <w:sz w:val="22"/>
        </w:rPr>
        <w:t xml:space="preserve"> Stifel downgraded MGM from Buy to Hold, citing that shares already trade above the $48.30 offer price, reflecting investor belief the initial bid undervalues the company. Stifel noted limited upside even in a favorable outcome and significant downside if negotiations fail. The firm sees less internal board support for this transaction vs. the Caesars deal. </w:t>
      </w:r>
    </w:p>
    <w:p>
      <w:pPr>
        <w:pStyle w:val="ListBullet"/>
        <w:ind w:left="360" w:hanging="360"/>
      </w:pPr>
      <w:r>
        <w:rPr>
          <w:rFonts w:ascii="Calibri" w:hAnsi="Calibri"/>
          <w:b/>
          <w:i/>
          <w:color w:val="525866"/>
          <w:sz w:val="22"/>
        </w:rPr>
        <w:t>Implication:</w:t>
      </w:r>
      <w:r>
        <w:rPr>
          <w:rFonts w:ascii="Calibri" w:hAnsi="Calibri"/>
          <w:i/>
          <w:color w:val="525866"/>
          <w:sz w:val="22"/>
        </w:rPr>
        <w:t xml:space="preserve"> Risk/reward is now skewed to the downside on deal failure; the stock is pricing in a higher bid that may not materialize.</w:t>
      </w:r>
    </w:p>
    <w:p>
      <w:pPr>
        <w:pStyle w:val="ListBullet"/>
        <w:ind w:left="360" w:hanging="360"/>
      </w:pPr>
      <w:r>
        <w:rPr>
          <w:rFonts w:ascii="Calibri" w:hAnsi="Calibri"/>
          <w:b/>
          <w:color w:val="525866"/>
          <w:sz w:val="22"/>
        </w:rPr>
        <w:t>July 14, 2026 — BetMGM Q2 2026 Update Scheduled for July 28:</w:t>
      </w:r>
      <w:r>
        <w:rPr>
          <w:rFonts w:ascii="Calibri" w:hAnsi="Calibri"/>
          <w:color w:val="525866"/>
          <w:sz w:val="22"/>
        </w:rPr>
        <w:t xml:space="preserve"> BetMGM announced it will release its Q2 2026 business update on July 28, 2026 (one day before MGM's earnings), with a management webcast including Q&amp;A. This is the most important near-term operational catalyst — any further revenue guidance cut or EBITDA miss would pressure MGM sentiment heading into the print. </w:t>
      </w:r>
    </w:p>
    <w:p>
      <w:pPr>
        <w:pStyle w:val="ListBullet"/>
        <w:ind w:left="360" w:hanging="360"/>
      </w:pPr>
      <w:r>
        <w:rPr>
          <w:rFonts w:ascii="Calibri" w:hAnsi="Calibri"/>
          <w:b/>
          <w:i/>
          <w:color w:val="525866"/>
          <w:sz w:val="22"/>
        </w:rPr>
        <w:t>Implication:</w:t>
      </w:r>
      <w:r>
        <w:rPr>
          <w:rFonts w:ascii="Calibri" w:hAnsi="Calibri"/>
          <w:i/>
          <w:color w:val="525866"/>
          <w:sz w:val="22"/>
        </w:rPr>
        <w:t xml:space="preserve"> BetMGM Q2 update is a live pre-earnings catalyst; watch for any revision to the FY2026 revenue or EBITDA guidance.</w:t>
      </w:r>
    </w:p>
    <w:p>
      <w:pPr>
        <w:pStyle w:val="ListBullet"/>
        <w:ind w:left="360" w:hanging="360"/>
      </w:pPr>
      <w:r>
        <w:rPr>
          <w:rFonts w:ascii="Calibri" w:hAnsi="Calibri"/>
          <w:b/>
          <w:color w:val="525866"/>
          <w:sz w:val="22"/>
        </w:rPr>
        <w:t>May 14, 2026 — MGM China Holdings Issues $750M Senior Notes Due 2033:</w:t>
      </w:r>
      <w:r>
        <w:rPr>
          <w:rFonts w:ascii="Calibri" w:hAnsi="Calibri"/>
          <w:color w:val="525866"/>
          <w:sz w:val="22"/>
        </w:rPr>
        <w:t xml:space="preserve"> MGM China Holdings completed a $750M senior notes offering due 2033. This is a balance sheet management action at the subsidiary level, providing liquidity for ongoing Macau operations and capital projects (suite renovations at MGM Macau). </w:t>
      </w:r>
    </w:p>
    <w:p>
      <w:pPr>
        <w:pStyle w:val="ListBullet"/>
        <w:ind w:left="360" w:hanging="360"/>
      </w:pPr>
      <w:r>
        <w:rPr>
          <w:rFonts w:ascii="Calibri" w:hAnsi="Calibri"/>
          <w:b/>
          <w:i/>
          <w:color w:val="525866"/>
          <w:sz w:val="22"/>
        </w:rPr>
        <w:t>Implication:</w:t>
      </w:r>
      <w:r>
        <w:rPr>
          <w:rFonts w:ascii="Calibri" w:hAnsi="Calibri"/>
          <w:i/>
          <w:color w:val="525866"/>
          <w:sz w:val="22"/>
        </w:rPr>
        <w:t xml:space="preserve"> Neutral to slightly positive — demonstrates access to capital markets at the Macau subsidiary level; supports ongoing premium mass investment.</w:t>
      </w:r>
    </w:p>
    <w:p>
      <w:pPr>
        <w:pStyle w:val="ListBullet"/>
        <w:ind w:left="360" w:hanging="360"/>
      </w:pPr>
      <w:r>
        <w:rPr>
          <w:rFonts w:ascii="Calibri" w:hAnsi="Calibri"/>
          <w:b/>
          <w:color w:val="525866"/>
          <w:sz w:val="22"/>
        </w:rPr>
        <w:t>April 2026 — Northfield Park Sale Closed:</w:t>
      </w:r>
      <w:r>
        <w:rPr>
          <w:rFonts w:ascii="Calibri" w:hAnsi="Calibri"/>
          <w:color w:val="525866"/>
          <w:sz w:val="22"/>
        </w:rPr>
        <w:t xml:space="preserve"> MGM closed the sale of Northfield Park (Ohio slot-only property) for proceeds at 6.6x trailing EBITDA, well above the company's own implied brick-and-mortar multiple. Management signaled intent to redeploy proceeds including accelerating share repurchases. </w:t>
      </w:r>
    </w:p>
    <w:p>
      <w:pPr>
        <w:pStyle w:val="ListBullet"/>
        <w:ind w:left="360" w:hanging="360"/>
      </w:pPr>
      <w:r>
        <w:rPr>
          <w:rFonts w:ascii="Calibri" w:hAnsi="Calibri"/>
          <w:b/>
          <w:i/>
          <w:color w:val="525866"/>
          <w:sz w:val="22"/>
        </w:rPr>
        <w:t>Implication:</w:t>
      </w:r>
      <w:r>
        <w:rPr>
          <w:rFonts w:ascii="Calibri" w:hAnsi="Calibri"/>
          <w:i/>
          <w:color w:val="525866"/>
          <w:sz w:val="22"/>
        </w:rPr>
        <w:t xml:space="preserve"> Positive for capital allocation optionality; watch for Q2 buyback activity disclosure.</w:t>
      </w:r>
    </w:p>
    <w:p>
      <w:pPr>
        <w:pStyle w:val="ListBullet"/>
        <w:ind w:left="360" w:hanging="360"/>
      </w:pPr>
      <w:r>
        <w:rPr>
          <w:rFonts w:ascii="Calibri" w:hAnsi="Calibri"/>
          <w:b/>
          <w:color w:val="525866"/>
          <w:sz w:val="22"/>
        </w:rPr>
        <w:t>May 8, 2026 — MGM Shareholders Re-Elect Board, Approve Auditor and Executive Pay:</w:t>
      </w:r>
      <w:r>
        <w:rPr>
          <w:rFonts w:ascii="Calibri" w:hAnsi="Calibri"/>
          <w:color w:val="525866"/>
          <w:sz w:val="22"/>
        </w:rPr>
        <w:t xml:space="preserve"> Routine annual meeting; no material governance changes. Board composition unchanged ahead of the People Inc. proposal.</w:t>
      </w:r>
    </w:p>
    <w:p>
      <w:pPr>
        <w:pStyle w:val="ListBullet"/>
        <w:ind w:left="360" w:hanging="360"/>
      </w:pPr>
      <w:r>
        <w:rPr>
          <w:rFonts w:ascii="Calibri" w:hAnsi="Calibri"/>
          <w:b/>
          <w:color w:val="525866"/>
          <w:sz w:val="22"/>
        </w:rPr>
        <w:t>Ongoing — Canadian Visitation Decline:</w:t>
      </w:r>
      <w:r>
        <w:rPr>
          <w:rFonts w:ascii="Calibri" w:hAnsi="Calibri"/>
          <w:color w:val="525866"/>
          <w:sz w:val="22"/>
        </w:rPr>
        <w:t xml:space="preserve"> Management disclosed Canadian business is down 30–40% year-over-year, a meaningful drag on Las Vegas Strip performance. International visitation has fallen from mid-teens to ~9–10% of visitors. MGM is conducting active outreach missions to Canada. </w:t>
      </w:r>
    </w:p>
    <w:p>
      <w:pPr>
        <w:pStyle w:val="ListBullet"/>
        <w:ind w:left="360" w:hanging="360"/>
      </w:pPr>
      <w:r>
        <w:rPr>
          <w:rFonts w:ascii="Calibri" w:hAnsi="Calibri"/>
          <w:b/>
          <w:i/>
          <w:color w:val="525866"/>
          <w:sz w:val="22"/>
        </w:rPr>
        <w:t>Implication:</w:t>
      </w:r>
      <w:r>
        <w:rPr>
          <w:rFonts w:ascii="Calibri" w:hAnsi="Calibri"/>
          <w:i/>
          <w:color w:val="525866"/>
          <w:sz w:val="22"/>
        </w:rPr>
        <w:t xml:space="preserve"> Any recovery in Canadian/international visitation is a meaningful upside lever for H2 2026.</w:t>
      </w:r>
    </w:p>
    <w:p>
      <w:pPr>
        <w:pStyle w:val="ListBullet"/>
        <w:ind w:left="360" w:hanging="360"/>
      </w:pPr>
      <w:r>
        <w:rPr>
          <w:rFonts w:ascii="Calibri" w:hAnsi="Calibri"/>
          <w:b/>
          <w:color w:val="525866"/>
          <w:sz w:val="22"/>
        </w:rPr>
        <w:t>Ongoing — Hard Rock/Mirage Competitive Threat:</w:t>
      </w:r>
      <w:r>
        <w:rPr>
          <w:rFonts w:ascii="Calibri" w:hAnsi="Calibri"/>
          <w:color w:val="525866"/>
          <w:sz w:val="22"/>
        </w:rPr>
        <w:t xml:space="preserve"> Hard Rock's entry into the Las Vegas Strip (former Mirage site) remains a key competitive watch item. Management has stated it is "preparing aggressively" for the opening. No specific timeline update since Q1 earnings.</w:t>
      </w:r>
    </w:p>
    <w:p>
      <w:pPr>
        <w:pStyle w:val="ListBullet"/>
        <w:ind w:left="360" w:hanging="360"/>
      </w:pPr>
      <w:r>
        <w:rPr>
          <w:rFonts w:ascii="Calibri" w:hAnsi="Calibri"/>
          <w:b/>
          <w:color w:val="525866"/>
          <w:sz w:val="22"/>
        </w:rPr>
        <w:t>Ongoing — NBA Las Vegas Expansion Team:</w:t>
      </w:r>
      <w:r>
        <w:rPr>
          <w:rFonts w:ascii="Calibri" w:hAnsi="Calibri"/>
          <w:color w:val="525866"/>
          <w:sz w:val="22"/>
        </w:rPr>
        <w:t xml:space="preserve"> Las Vegas named a "Target City" for NBA expansion; MGM is actively engaged in discussions with the league and team owners. The NBA has expressed interest in hosting a team as early as 2028. This is a long-term structural positive for Las Vegas visitation and MGM's venue strategy.</w:t>
      </w:r>
    </w:p>
    <w:p>
      <w:r>
        <w:br w:type="page"/>
      </w:r>
    </w:p>
    <w:p>
      <w:pPr>
        <w:pStyle w:val="Heading2"/>
      </w:pPr>
      <w:r>
        <w:rPr>
          <w:rFonts w:ascii="Calibri" w:hAnsi="Calibri"/>
          <w:b/>
          <w:color w:val="3B4259"/>
          <w:sz w:val="28"/>
        </w:rPr>
        <w:t>Peer Commentaries — Q2 2026 Read-Through</w:t>
      </w:r>
    </w:p>
    <w:p>
      <w:r>
        <w:rPr>
          <w:rFonts w:ascii="Calibri" w:hAnsi="Calibri"/>
          <w:b/>
          <w:color w:val="525866"/>
          <w:sz w:val="22"/>
        </w:rPr>
        <w:t xml:space="preserve">Key Takeaway: </w:t>
      </w:r>
      <w:r>
        <w:rPr>
          <w:rFonts w:ascii="Calibri" w:hAnsi="Calibri"/>
          <w:color w:val="525866"/>
          <w:sz w:val="22"/>
        </w:rPr>
        <w:t xml:space="preserve">Peer commentary from Q2 2026 earnings (LVS July 22, BYD July 23) and Wynn's Q1 2026 call (May 7, with Q2 forward commentary) paints a mixed picture: </w:t>
      </w:r>
      <w:r>
        <w:rPr>
          <w:rFonts w:ascii="Calibri" w:hAnsi="Calibri"/>
          <w:b/>
          <w:color w:val="525866"/>
          <w:sz w:val="22"/>
        </w:rPr>
        <w:t>luxury Las Vegas is holding up well</w:t>
      </w:r>
      <w:r>
        <w:rPr>
          <w:rFonts w:ascii="Calibri" w:hAnsi="Calibri"/>
          <w:color w:val="525866"/>
          <w:sz w:val="22"/>
        </w:rPr>
        <w:t xml:space="preserve"> (Wynn: luxury "firing on all cylinders," drop and handle up YoY into Q2), </w:t>
      </w:r>
      <w:r>
        <w:rPr>
          <w:rFonts w:ascii="Calibri" w:hAnsi="Calibri"/>
          <w:b/>
          <w:color w:val="525866"/>
          <w:sz w:val="22"/>
        </w:rPr>
        <w:t>regional gaming is resilient</w:t>
      </w:r>
      <w:r>
        <w:rPr>
          <w:rFonts w:ascii="Calibri" w:hAnsi="Calibri"/>
          <w:color w:val="525866"/>
          <w:sz w:val="22"/>
        </w:rPr>
        <w:t xml:space="preserve"> (Boyd: revenues +3%, EBITDA +2%, trends continuing into July), but </w:t>
      </w:r>
      <w:r>
        <w:rPr>
          <w:rFonts w:ascii="Calibri" w:hAnsi="Calibri"/>
          <w:b/>
          <w:color w:val="525866"/>
          <w:sz w:val="22"/>
        </w:rPr>
        <w:t>Macau faces a World Cup headwind in June</w:t>
      </w:r>
      <w:r>
        <w:rPr>
          <w:rFonts w:ascii="Calibri" w:hAnsi="Calibri"/>
          <w:color w:val="525866"/>
          <w:sz w:val="22"/>
        </w:rPr>
        <w:t xml:space="preserve"> (LVS: Macau GGR flat YoY in Q2, high-value patron disruption "very noticeable in June") that is a direct read-through risk for MGM China's Q2 EBITDAR.</w:t>
      </w:r>
    </w:p>
    <w:p>
      <w:pPr>
        <w:pStyle w:val="Heading3"/>
      </w:pPr>
      <w:r>
        <w:rPr>
          <w:rFonts w:ascii="Calibri" w:hAnsi="Calibri"/>
          <w:b/>
          <w:color w:val="3B4259"/>
          <w:sz w:val="24"/>
        </w:rPr>
        <w:t>Las Vegas Strip — Luxury/Premium Segment (Wynn Resorts, Q1 2026 Earnings, May 7, 2026)</w:t>
      </w:r>
    </w:p>
    <w:p>
      <w:r>
        <w:rPr>
          <w:rFonts w:ascii="Calibri" w:hAnsi="Calibri"/>
          <w:b/>
          <w:color w:val="525866"/>
          <w:sz w:val="22"/>
        </w:rPr>
        <w:t xml:space="preserve">Read-Through Relevance: </w:t>
      </w:r>
      <w:r>
        <w:rPr>
          <w:rFonts w:ascii="Calibri" w:hAnsi="Calibri"/>
          <w:color w:val="525866"/>
          <w:sz w:val="22"/>
        </w:rPr>
        <w:t>Wynn's Q1 2026 call included explicit Q2 forward commentary, making it directly relevant to MGM's Q2 setup.</w:t>
      </w:r>
    </w:p>
    <w:p>
      <w:pPr>
        <w:pStyle w:val="ListBullet"/>
        <w:ind w:left="360" w:hanging="360"/>
      </w:pPr>
      <w:r>
        <w:rPr>
          <w:rFonts w:ascii="Calibri" w:hAnsi="Calibri"/>
          <w:b/>
          <w:color w:val="525866"/>
          <w:sz w:val="22"/>
        </w:rPr>
        <w:t>Luxury consumer "firing on all cylinders":</w:t>
      </w:r>
      <w:r>
        <w:rPr>
          <w:rFonts w:ascii="Calibri" w:hAnsi="Calibri"/>
          <w:color w:val="525866"/>
          <w:sz w:val="22"/>
        </w:rPr>
        <w:t xml:space="preserve"> Wynn Las Vegas reported hold-adjusted EBITDAR growth of 5% to $232.5M in Q1, with its best March in property history. Casino revenues were up over 9% driven by broad-based increases in both drop and handle. RevPAR was up nearly 10% YoY on a 12% increase in rate. Management described the luxury consumer as "very much still firing on all cylinders" with "not that much resistance to price."</w:t>
      </w:r>
    </w:p>
    <w:p>
      <w:pPr>
        <w:pStyle w:val="ListBullet"/>
        <w:ind w:left="360" w:hanging="360"/>
      </w:pPr>
      <w:r>
        <w:rPr>
          <w:rFonts w:ascii="Calibri" w:hAnsi="Calibri"/>
          <w:b/>
          <w:color w:val="525866"/>
          <w:sz w:val="22"/>
        </w:rPr>
        <w:t>Q2 momentum confirmed:</w:t>
      </w:r>
      <w:r>
        <w:rPr>
          <w:rFonts w:ascii="Calibri" w:hAnsi="Calibri"/>
          <w:color w:val="525866"/>
          <w:sz w:val="22"/>
        </w:rPr>
        <w:t xml:space="preserve"> Wynn explicitly stated that "momentum has carried into the second quarter with drop and handle both up versus the prior year" and "ADR up year-on-year in the month of April." Group business is on pace to grow both room nights and rate above 2025 levels.</w:t>
      </w:r>
    </w:p>
    <w:p>
      <w:pPr>
        <w:pStyle w:val="ListBullet"/>
        <w:ind w:left="360" w:hanging="360"/>
      </w:pPr>
      <w:r>
        <w:rPr>
          <w:rFonts w:ascii="Calibri" w:hAnsi="Calibri"/>
          <w:b/>
          <w:i/>
          <w:color w:val="525866"/>
          <w:sz w:val="22"/>
        </w:rPr>
        <w:t>MGM Read-Through:</w:t>
      </w:r>
      <w:r>
        <w:rPr>
          <w:rFonts w:ascii="Calibri" w:hAnsi="Calibri"/>
          <w:i/>
          <w:color w:val="525866"/>
          <w:sz w:val="22"/>
        </w:rPr>
        <w:t xml:space="preserve"> Positive for MGM's premium Las Vegas properties (Bellagio, MGM Grand, Aria). The luxury/premium segment is holding up well, which supports MGM's convention-driven Q2 thesis. However, Wynn's outperformance is partly share-gain driven (new outlets, hosting capabilities) — MGM's value-tier (Luxor/Excalibur) remains a drag that Wynn doesn't face.</w:t>
      </w:r>
    </w:p>
    <w:p>
      <w:pPr>
        <w:pStyle w:val="ListBullet"/>
        <w:ind w:left="360" w:hanging="360"/>
      </w:pPr>
      <w:r>
        <w:rPr>
          <w:rFonts w:ascii="Calibri" w:hAnsi="Calibri"/>
          <w:b/>
          <w:color w:val="525866"/>
          <w:sz w:val="22"/>
        </w:rPr>
        <w:t>Difficult comps acknowledged:</w:t>
      </w:r>
      <w:r>
        <w:rPr>
          <w:rFonts w:ascii="Calibri" w:hAnsi="Calibri"/>
          <w:color w:val="525866"/>
          <w:sz w:val="22"/>
        </w:rPr>
        <w:t xml:space="preserve"> Wynn noted it faces "relatively difficult comps" given its "incredibly strong 2025" (&gt;$900M EBITDA in Vegas, record Q2 and August). This is a reminder that Q2 2025 was a strong period for premium Las Vegas — MGM's Q2 2025 Adj. EBITDA of $648M is a meaningful hurdle.</w:t>
      </w:r>
    </w:p>
    <w:p>
      <w:pPr>
        <w:pStyle w:val="Heading3"/>
      </w:pPr>
      <w:r>
        <w:rPr>
          <w:rFonts w:ascii="Calibri" w:hAnsi="Calibri"/>
          <w:b/>
          <w:color w:val="3B4259"/>
          <w:sz w:val="24"/>
        </w:rPr>
        <w:t>Macau Gaming Market (Las Vegas Sands, Q2 2026 Earnings, July 22, 2026)</w:t>
      </w:r>
    </w:p>
    <w:p>
      <w:r>
        <w:rPr>
          <w:rFonts w:ascii="Calibri" w:hAnsi="Calibri"/>
          <w:b/>
          <w:color w:val="525866"/>
          <w:sz w:val="22"/>
        </w:rPr>
        <w:t xml:space="preserve">Read-Through Relevance: </w:t>
      </w:r>
      <w:r>
        <w:rPr>
          <w:rFonts w:ascii="Calibri" w:hAnsi="Calibri"/>
          <w:color w:val="525866"/>
          <w:sz w:val="22"/>
        </w:rPr>
        <w:t>LVS is the largest Macau operator and its Q2 2026 results are the most direct read-through for MGM China's Q2 performance.</w:t>
      </w:r>
    </w:p>
    <w:p>
      <w:pPr>
        <w:pStyle w:val="ListBullet"/>
        <w:ind w:left="360" w:hanging="360"/>
      </w:pPr>
      <w:r>
        <w:rPr>
          <w:rFonts w:ascii="Calibri" w:hAnsi="Calibri"/>
          <w:b/>
          <w:color w:val="525866"/>
          <w:sz w:val="22"/>
        </w:rPr>
        <w:t>Macau GGR flat YoY in Q2:</w:t>
      </w:r>
      <w:r>
        <w:rPr>
          <w:rFonts w:ascii="Calibri" w:hAnsi="Calibri"/>
          <w:color w:val="525866"/>
          <w:sz w:val="22"/>
        </w:rPr>
        <w:t xml:space="preserve"> Sands China's total GGR grew 4% YoY in Q2 (vs. flat for the overall Macau market), but this was heavily impacted by an "exceptionally low VIP rolling hold of 1.35%" (vs. expected ~2.85%). If hold had been as expected, Sands China's total GGR growth would have been 14% YoY. The overall Macau market GGR was flat for the quarter.</w:t>
      </w:r>
    </w:p>
    <w:p>
      <w:pPr>
        <w:pStyle w:val="ListBullet"/>
        <w:ind w:left="360" w:hanging="360"/>
      </w:pPr>
      <w:r>
        <w:rPr>
          <w:rFonts w:ascii="Calibri" w:hAnsi="Calibri"/>
          <w:b/>
          <w:color w:val="525866"/>
          <w:sz w:val="22"/>
        </w:rPr>
        <w:t>World Cup disruption in June:</w:t>
      </w:r>
      <w:r>
        <w:rPr>
          <w:rFonts w:ascii="Calibri" w:hAnsi="Calibri"/>
          <w:color w:val="525866"/>
          <w:sz w:val="22"/>
        </w:rPr>
        <w:t xml:space="preserve"> LVS explicitly called out a "decrease in visitation to both Marina Bay Sands and Macau properties by our high value patrons during the World Cup football tournament. It was very noticeable in June." This is a direct read-through risk for MGM China's June performance.</w:t>
      </w:r>
    </w:p>
    <w:p>
      <w:pPr>
        <w:pStyle w:val="ListBullet"/>
        <w:ind w:left="360" w:hanging="360"/>
      </w:pPr>
      <w:r>
        <w:rPr>
          <w:rFonts w:ascii="Calibri" w:hAnsi="Calibri"/>
          <w:b/>
          <w:color w:val="525866"/>
          <w:sz w:val="22"/>
        </w:rPr>
        <w:t>Mass gaming resilient:</w:t>
      </w:r>
      <w:r>
        <w:rPr>
          <w:rFonts w:ascii="Calibri" w:hAnsi="Calibri"/>
          <w:color w:val="525866"/>
          <w:sz w:val="22"/>
        </w:rPr>
        <w:t xml:space="preserve"> Sands China's mass GGR grew 8% YoY in Q2, twice as fast as the overall market's 4% growth. Non-rolling drop was up 15% YoY and slot/ITG handle was up 30% YoY. This is a positive read-through for MGM China's mass gaming volumes.</w:t>
      </w:r>
    </w:p>
    <w:p>
      <w:pPr>
        <w:pStyle w:val="ListBullet"/>
        <w:ind w:left="360" w:hanging="360"/>
      </w:pPr>
      <w:r>
        <w:rPr>
          <w:rFonts w:ascii="Calibri" w:hAnsi="Calibri"/>
          <w:b/>
          <w:i/>
          <w:color w:val="525866"/>
          <w:sz w:val="22"/>
        </w:rPr>
        <w:t>MGM Read-Through:</w:t>
      </w:r>
      <w:r>
        <w:rPr>
          <w:rFonts w:ascii="Calibri" w:hAnsi="Calibri"/>
          <w:i/>
          <w:color w:val="525866"/>
          <w:sz w:val="22"/>
        </w:rPr>
        <w:t xml:space="preserve"> Mixed. The flat Macau market GGR and World Cup-driven June disruption are headwinds for MGM China's Q2 EBITDAR, which consensus already has down 7.6% YoY (partly due to the new branding fee structure). However, the strong mass gaming volumes are a positive signal for MGM China's premium mass strategy. LVS's VIP hold miss is idiosyncratic and may not apply to MGM China.</w:t>
      </w:r>
    </w:p>
    <w:p>
      <w:pPr>
        <w:pStyle w:val="ListBullet"/>
        <w:ind w:left="360" w:hanging="360"/>
      </w:pPr>
      <w:r>
        <w:rPr>
          <w:rFonts w:ascii="Calibri" w:hAnsi="Calibri"/>
          <w:b/>
          <w:color w:val="525866"/>
          <w:sz w:val="22"/>
        </w:rPr>
        <w:t>Q2 is historically Macau's softest quarter:</w:t>
      </w:r>
      <w:r>
        <w:rPr>
          <w:rFonts w:ascii="Calibri" w:hAnsi="Calibri"/>
          <w:color w:val="525866"/>
          <w:sz w:val="22"/>
        </w:rPr>
        <w:t xml:space="preserve"> LVS management confirmed that "historically what we've always seen is that Q2 has always been our softest quarter" — this is consistent with MGM China's Q2 2025 being its strongest quarter of the year, making the YoY comparison more challenging.</w:t>
      </w:r>
    </w:p>
    <w:p>
      <w:pPr>
        <w:pStyle w:val="Heading3"/>
      </w:pPr>
      <w:r>
        <w:rPr>
          <w:rFonts w:ascii="Calibri" w:hAnsi="Calibri"/>
          <w:b/>
          <w:color w:val="3B4259"/>
          <w:sz w:val="24"/>
        </w:rPr>
        <w:t>Regional Gaming &amp; Las Vegas Locals (Boyd Gaming, Q2 2026 Earnings, July 23, 2026)</w:t>
      </w:r>
    </w:p>
    <w:p>
      <w:r>
        <w:rPr>
          <w:rFonts w:ascii="Calibri" w:hAnsi="Calibri"/>
          <w:b/>
          <w:color w:val="525866"/>
          <w:sz w:val="22"/>
        </w:rPr>
        <w:t xml:space="preserve">Read-Through Relevance: </w:t>
      </w:r>
      <w:r>
        <w:rPr>
          <w:rFonts w:ascii="Calibri" w:hAnsi="Calibri"/>
          <w:color w:val="525866"/>
          <w:sz w:val="22"/>
        </w:rPr>
        <w:t>Boyd is the most direct read-through for MGM's regional gaming operations and Las Vegas value-tier consumer trends.</w:t>
      </w:r>
    </w:p>
    <w:p>
      <w:pPr>
        <w:pStyle w:val="ListBullet"/>
        <w:ind w:left="360" w:hanging="360"/>
      </w:pPr>
      <w:r>
        <w:rPr>
          <w:rFonts w:ascii="Calibri" w:hAnsi="Calibri"/>
          <w:b/>
          <w:color w:val="525866"/>
          <w:sz w:val="22"/>
        </w:rPr>
        <w:t>Regional gaming resilient:</w:t>
      </w:r>
      <w:r>
        <w:rPr>
          <w:rFonts w:ascii="Calibri" w:hAnsi="Calibri"/>
          <w:color w:val="525866"/>
          <w:sz w:val="22"/>
        </w:rPr>
        <w:t xml:space="preserve"> Boyd's Midwest and South segment delivered revenues +3% and EBITDA +4% in Q2, with property margins expanding to nearly 38% (strongest in almost two years). Management noted guests "continue to stay and spend closer to home," which is supporting regional gaming at the expense of destination Las Vegas.</w:t>
      </w:r>
    </w:p>
    <w:p>
      <w:pPr>
        <w:pStyle w:val="ListBullet"/>
        <w:ind w:left="360" w:hanging="360"/>
      </w:pPr>
      <w:r>
        <w:rPr>
          <w:rFonts w:ascii="Calibri" w:hAnsi="Calibri"/>
          <w:b/>
          <w:color w:val="525866"/>
          <w:sz w:val="22"/>
        </w:rPr>
        <w:t>Las Vegas destination softness persists:</w:t>
      </w:r>
      <w:r>
        <w:rPr>
          <w:rFonts w:ascii="Calibri" w:hAnsi="Calibri"/>
          <w:color w:val="525866"/>
          <w:sz w:val="22"/>
        </w:rPr>
        <w:t xml:space="preserve"> Boyd continues to experience softness in destination business in Las Vegas (primarily at the Orleans), with a ~$5M EBITDA impact in Q2 that has been "very consistent since Q3 of last year." Downtown Las Vegas was impacted by lower pedestrian traffic. Boyd expects the impact to be "less bad" in Q3 (~$3M) but not improving to flat or positive.</w:t>
      </w:r>
    </w:p>
    <w:p>
      <w:pPr>
        <w:pStyle w:val="ListBullet"/>
        <w:ind w:left="360" w:hanging="360"/>
      </w:pPr>
      <w:r>
        <w:rPr>
          <w:rFonts w:ascii="Calibri" w:hAnsi="Calibri"/>
          <w:b/>
          <w:color w:val="525866"/>
          <w:sz w:val="22"/>
        </w:rPr>
        <w:t>Local Las Vegas consumer healthy:</w:t>
      </w:r>
      <w:r>
        <w:rPr>
          <w:rFonts w:ascii="Calibri" w:hAnsi="Calibri"/>
          <w:color w:val="525866"/>
          <w:sz w:val="22"/>
        </w:rPr>
        <w:t xml:space="preserve"> Boyd's Las Vegas local segment (ex-Orleans/Suncoast) delivered revenues +4% and EBITDA +3% with margins exceeding 50%. The "truly local customer remains healthy." Southern Nevada employment is growing at the fastest rate of any major metro area, with weekly wages increasing at more than twice the national average.</w:t>
      </w:r>
    </w:p>
    <w:p>
      <w:pPr>
        <w:pStyle w:val="ListBullet"/>
        <w:ind w:left="360" w:hanging="360"/>
      </w:pPr>
      <w:r>
        <w:rPr>
          <w:rFonts w:ascii="Calibri" w:hAnsi="Calibri"/>
          <w:b/>
          <w:color w:val="525866"/>
          <w:sz w:val="22"/>
        </w:rPr>
        <w:t>Promotional environment stable:</w:t>
      </w:r>
      <w:r>
        <w:rPr>
          <w:rFonts w:ascii="Calibri" w:hAnsi="Calibri"/>
          <w:color w:val="525866"/>
          <w:sz w:val="22"/>
        </w:rPr>
        <w:t xml:space="preserve"> Boyd noted "not much has changed" in the promotional environment across both Las Vegas and regional markets — no considerable pickup in competitor aggression. This is a positive read-through for MGM's margin stability.</w:t>
      </w:r>
    </w:p>
    <w:p>
      <w:pPr>
        <w:pStyle w:val="ListBullet"/>
        <w:ind w:left="360" w:hanging="360"/>
      </w:pPr>
      <w:r>
        <w:rPr>
          <w:rFonts w:ascii="Calibri" w:hAnsi="Calibri"/>
          <w:b/>
          <w:color w:val="525866"/>
          <w:sz w:val="22"/>
        </w:rPr>
        <w:t>Q2 trends continuing into July:</w:t>
      </w:r>
      <w:r>
        <w:rPr>
          <w:rFonts w:ascii="Calibri" w:hAnsi="Calibri"/>
          <w:color w:val="525866"/>
          <w:sz w:val="22"/>
        </w:rPr>
        <w:t xml:space="preserve"> Boyd confirmed that "the overall trends of the second quarter are continuing into July" — a positive signal for MGM's Q3 setup.</w:t>
      </w:r>
    </w:p>
    <w:p>
      <w:pPr>
        <w:pStyle w:val="ListBullet"/>
        <w:ind w:left="360" w:hanging="360"/>
      </w:pPr>
      <w:r>
        <w:rPr>
          <w:rFonts w:ascii="Calibri" w:hAnsi="Calibri"/>
          <w:b/>
          <w:i/>
          <w:color w:val="525866"/>
          <w:sz w:val="22"/>
        </w:rPr>
        <w:t>MGM Read-Through:</w:t>
      </w:r>
      <w:r>
        <w:rPr>
          <w:rFonts w:ascii="Calibri" w:hAnsi="Calibri"/>
          <w:i/>
          <w:color w:val="525866"/>
          <w:sz w:val="22"/>
        </w:rPr>
        <w:t xml:space="preserve"> Mixed. The regional gaming resilience is a positive for MGM's regional operations (Borgata, National Harbor, etc.), but the persistent Las Vegas destination softness is a headwind for MGM's value-tier properties (Luxor, Excalibur). The stable promotional environment is a positive for margins. Boyd's data confirms the consumer bifurcation narrative: local/regional spending is healthy, but destination Las Vegas (especially value-tier) remains soft.</w:t>
      </w:r>
    </w:p>
    <w:p>
      <w:pPr>
        <w:pStyle w:val="Heading3"/>
      </w:pPr>
      <w:r>
        <w:rPr>
          <w:rFonts w:ascii="Calibri" w:hAnsi="Calibri"/>
          <w:b/>
          <w:color w:val="3B4259"/>
          <w:sz w:val="24"/>
        </w:rPr>
        <w:t>Peer Commentary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Event / Date</w:t>
            </w:r>
          </w:p>
        </w:tc>
        <w:tc>
          <w:tcPr>
            <w:tcW w:type="dxa" w:w="1728"/>
            <w:shd w:val="clear" w:color="auto" w:fill="3B4259"/>
          </w:tcPr>
          <w:p>
            <w:r>
              <w:rPr>
                <w:rFonts w:ascii="Calibri" w:hAnsi="Calibri"/>
                <w:b/>
                <w:color w:val="FFFFFF"/>
                <w:sz w:val="22"/>
              </w:rPr>
              <w:t>Key Q2 2026 Commentary</w:t>
            </w:r>
          </w:p>
        </w:tc>
        <w:tc>
          <w:tcPr>
            <w:tcW w:type="dxa" w:w="1728"/>
            <w:shd w:val="clear" w:color="auto" w:fill="3B4259"/>
          </w:tcPr>
          <w:p>
            <w:r>
              <w:rPr>
                <w:rFonts w:ascii="Calibri" w:hAnsi="Calibri"/>
                <w:b/>
                <w:color w:val="FFFFFF"/>
                <w:sz w:val="22"/>
              </w:rPr>
              <w:t>MGM Read-Through</w:t>
            </w:r>
          </w:p>
        </w:tc>
        <w:tc>
          <w:tcPr>
            <w:tcW w:type="dxa" w:w="1728"/>
            <w:shd w:val="clear" w:color="auto" w:fill="3B4259"/>
          </w:tcPr>
          <w:p>
            <w:r>
              <w:rPr>
                <w:rFonts w:ascii="Calibri" w:hAnsi="Calibri"/>
                <w:b/>
                <w:color w:val="FFFFFF"/>
                <w:sz w:val="22"/>
              </w:rPr>
              <w:t>Direction</w:t>
            </w:r>
          </w:p>
        </w:tc>
      </w:tr>
      <w:tr>
        <w:tc>
          <w:tcPr>
            <w:tcW w:type="dxa" w:w="1728"/>
          </w:tcPr>
          <w:p>
            <w:r>
              <w:rPr>
                <w:rFonts w:ascii="Calibri" w:hAnsi="Calibri"/>
                <w:sz w:val="22"/>
              </w:rPr>
              <w:t>Wynn Resorts (WYNN)</w:t>
            </w:r>
          </w:p>
        </w:tc>
        <w:tc>
          <w:tcPr>
            <w:tcW w:type="dxa" w:w="1728"/>
          </w:tcPr>
          <w:p>
            <w:r>
              <w:rPr>
                <w:rFonts w:ascii="Calibri" w:hAnsi="Calibri"/>
                <w:sz w:val="22"/>
              </w:rPr>
              <w:t>Q1 2026 Earnings, May 7, 2026</w:t>
            </w:r>
          </w:p>
        </w:tc>
        <w:tc>
          <w:tcPr>
            <w:tcW w:type="dxa" w:w="1728"/>
          </w:tcPr>
          <w:p>
            <w:r>
              <w:rPr>
                <w:rFonts w:ascii="Calibri" w:hAnsi="Calibri"/>
                <w:sz w:val="22"/>
              </w:rPr>
              <w:t>Luxury consumer "firing on all cylinders"; Q2 drop/handle up YoY; ADR up in April; group pace on track to exceed 2025</w:t>
            </w:r>
          </w:p>
        </w:tc>
        <w:tc>
          <w:tcPr>
            <w:tcW w:type="dxa" w:w="1728"/>
          </w:tcPr>
          <w:p>
            <w:r>
              <w:rPr>
                <w:rFonts w:ascii="Calibri" w:hAnsi="Calibri"/>
                <w:sz w:val="22"/>
              </w:rPr>
              <w:t>Positive for MGM premium LV properties (Bellagio, MGM Grand, Aria); value-tier drag remains MGM-specific</w:t>
            </w:r>
          </w:p>
        </w:tc>
        <w:tc>
          <w:tcPr>
            <w:tcW w:type="dxa" w:w="1728"/>
          </w:tcPr>
          <w:p>
            <w:r>
              <w:rPr>
                <w:rFonts w:ascii="Calibri" w:hAnsi="Calibri"/>
                <w:b/>
                <w:color w:val="30A46C"/>
                <w:sz w:val="22"/>
              </w:rPr>
              <w:t>Positive</w:t>
            </w:r>
          </w:p>
        </w:tc>
      </w:tr>
      <w:tr>
        <w:tc>
          <w:tcPr>
            <w:tcW w:type="dxa" w:w="1728"/>
          </w:tcPr>
          <w:p>
            <w:r>
              <w:rPr>
                <w:rFonts w:ascii="Calibri" w:hAnsi="Calibri"/>
                <w:sz w:val="22"/>
              </w:rPr>
              <w:t>Las Vegas Sands (LVS)</w:t>
            </w:r>
          </w:p>
        </w:tc>
        <w:tc>
          <w:tcPr>
            <w:tcW w:type="dxa" w:w="1728"/>
          </w:tcPr>
          <w:p>
            <w:r>
              <w:rPr>
                <w:rFonts w:ascii="Calibri" w:hAnsi="Calibri"/>
                <w:sz w:val="22"/>
              </w:rPr>
              <w:t>Q2 2026 Earnings, July 22, 2026</w:t>
            </w:r>
          </w:p>
        </w:tc>
        <w:tc>
          <w:tcPr>
            <w:tcW w:type="dxa" w:w="1728"/>
          </w:tcPr>
          <w:p>
            <w:r>
              <w:rPr>
                <w:rFonts w:ascii="Calibri" w:hAnsi="Calibri"/>
                <w:sz w:val="22"/>
              </w:rPr>
              <w:t>Macau GGR flat YoY; World Cup disrupted high-value patron visitation "very noticeable in June"; mass GGR +8% YoY; VIP hold miss (1.35% vs. ~2.85% expected)</w:t>
            </w:r>
          </w:p>
        </w:tc>
        <w:tc>
          <w:tcPr>
            <w:tcW w:type="dxa" w:w="1728"/>
          </w:tcPr>
          <w:p>
            <w:r>
              <w:rPr>
                <w:rFonts w:ascii="Calibri" w:hAnsi="Calibri"/>
                <w:sz w:val="22"/>
              </w:rPr>
              <w:t>Negative for MGM China Q2 EBITDAR; World Cup June headwind is direct read-through; mass resilience is partial offset</w:t>
            </w:r>
          </w:p>
        </w:tc>
        <w:tc>
          <w:tcPr>
            <w:tcW w:type="dxa" w:w="1728"/>
          </w:tcPr>
          <w:p>
            <w:r>
              <w:rPr>
                <w:rFonts w:ascii="Calibri" w:hAnsi="Calibri"/>
                <w:b/>
                <w:color w:val="E5484D"/>
                <w:sz w:val="22"/>
              </w:rPr>
              <w:t>Negative</w:t>
            </w:r>
          </w:p>
        </w:tc>
      </w:tr>
      <w:tr>
        <w:tc>
          <w:tcPr>
            <w:tcW w:type="dxa" w:w="1728"/>
          </w:tcPr>
          <w:p>
            <w:r>
              <w:rPr>
                <w:rFonts w:ascii="Calibri" w:hAnsi="Calibri"/>
                <w:sz w:val="22"/>
              </w:rPr>
              <w:t>Boyd Gaming (BYD)</w:t>
            </w:r>
          </w:p>
        </w:tc>
        <w:tc>
          <w:tcPr>
            <w:tcW w:type="dxa" w:w="1728"/>
          </w:tcPr>
          <w:p>
            <w:r>
              <w:rPr>
                <w:rFonts w:ascii="Calibri" w:hAnsi="Calibri"/>
                <w:sz w:val="22"/>
              </w:rPr>
              <w:t>Q2 2026 Earnings, July 23, 2026</w:t>
            </w:r>
          </w:p>
        </w:tc>
        <w:tc>
          <w:tcPr>
            <w:tcW w:type="dxa" w:w="1728"/>
          </w:tcPr>
          <w:p>
            <w:r>
              <w:rPr>
                <w:rFonts w:ascii="Calibri" w:hAnsi="Calibri"/>
                <w:sz w:val="22"/>
              </w:rPr>
              <w:t>Regional gaming revenues +3%, EBITDA +2%; LV destination softness persists (~$5M EBITDA impact); local consumer healthy; promotional environment stable; Q2 trends continuing into July</w:t>
            </w:r>
          </w:p>
        </w:tc>
        <w:tc>
          <w:tcPr>
            <w:tcW w:type="dxa" w:w="1728"/>
          </w:tcPr>
          <w:p>
            <w:r>
              <w:rPr>
                <w:rFonts w:ascii="Calibri" w:hAnsi="Calibri"/>
                <w:sz w:val="22"/>
              </w:rPr>
              <w:t>Mixed: regional ops positive; LV value-tier softness confirms MGM's Luxor/Excalibur challenge; stable promos positive for margins</w:t>
            </w:r>
          </w:p>
        </w:tc>
        <w:tc>
          <w:tcPr>
            <w:tcW w:type="dxa" w:w="1728"/>
          </w:tcPr>
          <w:p>
            <w:r>
              <w:rPr>
                <w:rFonts w:ascii="Calibri" w:hAnsi="Calibri"/>
                <w:b/>
                <w:color w:val="002FA7"/>
                <w:sz w:val="22"/>
              </w:rPr>
              <w:t>Mixed</w:t>
            </w:r>
          </w:p>
        </w:tc>
      </w:tr>
    </w:tbl>
    <w:p>
      <w:r>
        <w:br w:type="page"/>
      </w:r>
    </w:p>
    <w:p>
      <w:pPr>
        <w:pStyle w:val="Heading2"/>
      </w:pPr>
      <w:r>
        <w:rPr>
          <w:rFonts w:ascii="Calibri" w:hAnsi="Calibri"/>
          <w:b/>
          <w:color w:val="3B4259"/>
          <w:sz w:val="28"/>
        </w:rPr>
        <w:t>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from senior executives since Q1 earnings — all activity is routine RSU vesting/conversion and director compensation awards. The one notable exception is </w:t>
      </w:r>
      <w:r>
        <w:rPr>
          <w:rFonts w:ascii="Calibri" w:hAnsi="Calibri"/>
          <w:b/>
          <w:color w:val="525866"/>
          <w:sz w:val="22"/>
        </w:rPr>
        <w:t>Director Daniel Taylor's open-market sale of 6,675 shares on May 22</w:t>
      </w:r>
      <w:r>
        <w:rPr>
          <w:rFonts w:ascii="Calibri" w:hAnsi="Calibri"/>
          <w:color w:val="525866"/>
          <w:sz w:val="22"/>
        </w:rPr>
        <w:t xml:space="preserve"> (filed May 26), which is the only discretionary sale in the window and is relatively small in size. No clustered executive buying or unusual selling patterns that would signal conviction either way.</w:t>
      </w:r>
    </w:p>
    <w:p>
      <w:r>
        <w:rPr>
          <w:rFonts w:ascii="Calibri" w:hAnsi="Calibri"/>
          <w:b/>
          <w:color w:val="525866"/>
          <w:sz w:val="22"/>
        </w:rPr>
        <w:t>Open-Market Buys and Sells (Form 4, Codes P/S) — April 29 to July 27, 2026</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Taylor, Daniel J.</w:t>
            </w:r>
          </w:p>
        </w:tc>
        <w:tc>
          <w:tcPr>
            <w:tcW w:type="dxa" w:w="1440"/>
          </w:tcPr>
          <w:p>
            <w:r>
              <w:rPr>
                <w:rFonts w:ascii="Calibri" w:hAnsi="Calibri"/>
                <w:sz w:val="22"/>
              </w:rPr>
              <w:t>Director</w:t>
            </w:r>
          </w:p>
        </w:tc>
        <w:tc>
          <w:tcPr>
            <w:tcW w:type="dxa" w:w="1440"/>
          </w:tcPr>
          <w:p>
            <w:r>
              <w:rPr>
                <w:rFonts w:ascii="Calibri" w:hAnsi="Calibri"/>
                <w:sz w:val="22"/>
              </w:rPr>
              <w:t>Open Market Sale (Code S)</w:t>
            </w:r>
          </w:p>
        </w:tc>
        <w:tc>
          <w:tcPr>
            <w:tcW w:type="dxa" w:w="1440"/>
          </w:tcPr>
          <w:p>
            <w:r>
              <w:rPr>
                <w:rFonts w:ascii="Calibri" w:hAnsi="Calibri"/>
                <w:sz w:val="22"/>
              </w:rPr>
              <w:t>6,675</w:t>
            </w:r>
          </w:p>
        </w:tc>
        <w:tc>
          <w:tcPr>
            <w:tcW w:type="dxa" w:w="1440"/>
          </w:tcPr>
          <w:p>
            <w:r>
              <w:rPr>
                <w:rFonts w:ascii="Calibri" w:hAnsi="Calibri"/>
                <w:sz w:val="22"/>
              </w:rPr>
              <w:t>May 22, 2026</w:t>
            </w:r>
          </w:p>
        </w:tc>
        <w:tc>
          <w:tcPr>
            <w:tcW w:type="dxa" w:w="1440"/>
          </w:tcPr>
          <w:p>
            <w:r>
              <w:rPr>
                <w:rFonts w:ascii="Calibri" w:hAnsi="Calibri"/>
                <w:sz w:val="22"/>
              </w:rPr>
              <w:t>Sold via grantor trust; only discretionary sale in the window; relatively small size; no 10b5-1 plan indicated</w:t>
            </w:r>
          </w:p>
        </w:tc>
      </w:tr>
    </w:tbl>
    <w:p>
      <w:r>
        <w:rPr>
          <w:rFonts w:ascii="Calibri" w:hAnsi="Calibri"/>
          <w:b/>
          <w:color w:val="525866"/>
          <w:sz w:val="22"/>
        </w:rPr>
        <w:t>Routine RSU Vesting / Director Compensation Awards (Not Open-Market Transactions)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Fritz, Gary M.</w:t>
            </w:r>
          </w:p>
        </w:tc>
        <w:tc>
          <w:tcPr>
            <w:tcW w:type="dxa" w:w="1440"/>
          </w:tcPr>
          <w:p>
            <w:r>
              <w:rPr>
                <w:rFonts w:ascii="Calibri" w:hAnsi="Calibri"/>
                <w:sz w:val="22"/>
              </w:rPr>
              <w:t>President, Interactive</w:t>
            </w:r>
          </w:p>
        </w:tc>
        <w:tc>
          <w:tcPr>
            <w:tcW w:type="dxa" w:w="1440"/>
          </w:tcPr>
          <w:p>
            <w:r>
              <w:rPr>
                <w:rFonts w:ascii="Calibri" w:hAnsi="Calibri"/>
                <w:sz w:val="22"/>
              </w:rPr>
              <w:t>RSU Vesting (Code M) + Tax Withholding (Code F)</w:t>
            </w:r>
          </w:p>
        </w:tc>
        <w:tc>
          <w:tcPr>
            <w:tcW w:type="dxa" w:w="1440"/>
          </w:tcPr>
          <w:p>
            <w:r>
              <w:rPr>
                <w:rFonts w:ascii="Calibri" w:hAnsi="Calibri"/>
                <w:sz w:val="22"/>
              </w:rPr>
              <w:t>2,259 vested; 903 withheld for tax</w:t>
            </w:r>
          </w:p>
        </w:tc>
        <w:tc>
          <w:tcPr>
            <w:tcW w:type="dxa" w:w="1440"/>
          </w:tcPr>
          <w:p>
            <w:r>
              <w:rPr>
                <w:rFonts w:ascii="Calibri" w:hAnsi="Calibri"/>
                <w:sz w:val="22"/>
              </w:rPr>
              <w:t>July 1, 2026</w:t>
            </w:r>
          </w:p>
        </w:tc>
        <w:tc>
          <w:tcPr>
            <w:tcW w:type="dxa" w:w="1440"/>
          </w:tcPr>
          <w:p>
            <w:r>
              <w:rPr>
                <w:rFonts w:ascii="Calibri" w:hAnsi="Calibri"/>
                <w:sz w:val="22"/>
              </w:rPr>
              <w:t>Routine RSU vesting; tax withholding is obligation-driven, not discretionary</w:t>
            </w:r>
          </w:p>
        </w:tc>
      </w:tr>
      <w:tr>
        <w:tc>
          <w:tcPr>
            <w:tcW w:type="dxa" w:w="1440"/>
          </w:tcPr>
          <w:p>
            <w:r>
              <w:rPr>
                <w:rFonts w:ascii="Calibri" w:hAnsi="Calibri"/>
                <w:sz w:val="22"/>
              </w:rPr>
              <w:t>Levin, Joseph</w:t>
            </w:r>
          </w:p>
        </w:tc>
        <w:tc>
          <w:tcPr>
            <w:tcW w:type="dxa" w:w="1440"/>
          </w:tcPr>
          <w:p>
            <w:r>
              <w:rPr>
                <w:rFonts w:ascii="Calibri" w:hAnsi="Calibri"/>
                <w:sz w:val="22"/>
              </w:rPr>
              <w:t>Director</w:t>
            </w:r>
          </w:p>
        </w:tc>
        <w:tc>
          <w:tcPr>
            <w:tcW w:type="dxa" w:w="1440"/>
          </w:tcPr>
          <w:p>
            <w:r>
              <w:rPr>
                <w:rFonts w:ascii="Calibri" w:hAnsi="Calibri"/>
                <w:sz w:val="22"/>
              </w:rPr>
              <w:t>Director Compensation Award (Code A)</w:t>
            </w:r>
          </w:p>
        </w:tc>
        <w:tc>
          <w:tcPr>
            <w:tcW w:type="dxa" w:w="1440"/>
          </w:tcPr>
          <w:p>
            <w:r>
              <w:rPr>
                <w:rFonts w:ascii="Calibri" w:hAnsi="Calibri"/>
                <w:sz w:val="22"/>
              </w:rPr>
              <w:t>732 DSUs</w:t>
            </w:r>
          </w:p>
        </w:tc>
        <w:tc>
          <w:tcPr>
            <w:tcW w:type="dxa" w:w="1440"/>
          </w:tcPr>
          <w:p>
            <w:r>
              <w:rPr>
                <w:rFonts w:ascii="Calibri" w:hAnsi="Calibri"/>
                <w:sz w:val="22"/>
              </w:rPr>
              <w:t>June 30, 2026</w:t>
            </w:r>
          </w:p>
        </w:tc>
        <w:tc>
          <w:tcPr>
            <w:tcW w:type="dxa" w:w="1440"/>
          </w:tcPr>
          <w:p>
            <w:r>
              <w:rPr>
                <w:rFonts w:ascii="Calibri" w:hAnsi="Calibri"/>
                <w:sz w:val="22"/>
              </w:rPr>
              <w:t>Routine quarterly director compensation in deferred stock units</w:t>
            </w:r>
          </w:p>
        </w:tc>
      </w:tr>
      <w:tr>
        <w:tc>
          <w:tcPr>
            <w:tcW w:type="dxa" w:w="1440"/>
          </w:tcPr>
          <w:p>
            <w:r>
              <w:rPr>
                <w:rFonts w:ascii="Calibri" w:hAnsi="Calibri"/>
                <w:sz w:val="22"/>
              </w:rPr>
              <w:t>Meister, Keith A.</w:t>
            </w:r>
          </w:p>
        </w:tc>
        <w:tc>
          <w:tcPr>
            <w:tcW w:type="dxa" w:w="1440"/>
          </w:tcPr>
          <w:p>
            <w:r>
              <w:rPr>
                <w:rFonts w:ascii="Calibri" w:hAnsi="Calibri"/>
                <w:sz w:val="22"/>
              </w:rPr>
              <w:t>Director</w:t>
            </w:r>
          </w:p>
        </w:tc>
        <w:tc>
          <w:tcPr>
            <w:tcW w:type="dxa" w:w="1440"/>
          </w:tcPr>
          <w:p>
            <w:r>
              <w:rPr>
                <w:rFonts w:ascii="Calibri" w:hAnsi="Calibri"/>
                <w:sz w:val="22"/>
              </w:rPr>
              <w:t>Director Compensation Award (Code A)</w:t>
            </w:r>
          </w:p>
        </w:tc>
        <w:tc>
          <w:tcPr>
            <w:tcW w:type="dxa" w:w="1440"/>
          </w:tcPr>
          <w:p>
            <w:r>
              <w:rPr>
                <w:rFonts w:ascii="Calibri" w:hAnsi="Calibri"/>
                <w:sz w:val="22"/>
              </w:rPr>
              <w:t>837 DSUs</w:t>
            </w:r>
          </w:p>
        </w:tc>
        <w:tc>
          <w:tcPr>
            <w:tcW w:type="dxa" w:w="1440"/>
          </w:tcPr>
          <w:p>
            <w:r>
              <w:rPr>
                <w:rFonts w:ascii="Calibri" w:hAnsi="Calibri"/>
                <w:sz w:val="22"/>
              </w:rPr>
              <w:t>June 30, 2026</w:t>
            </w:r>
          </w:p>
        </w:tc>
        <w:tc>
          <w:tcPr>
            <w:tcW w:type="dxa" w:w="1440"/>
          </w:tcPr>
          <w:p>
            <w:r>
              <w:rPr>
                <w:rFonts w:ascii="Calibri" w:hAnsi="Calibri"/>
                <w:sz w:val="22"/>
              </w:rPr>
              <w:t>Routine quarterly director compensation in deferred stock units</w:t>
            </w:r>
          </w:p>
        </w:tc>
      </w:tr>
      <w:tr>
        <w:tc>
          <w:tcPr>
            <w:tcW w:type="dxa" w:w="1440"/>
          </w:tcPr>
          <w:p>
            <w:r>
              <w:rPr>
                <w:rFonts w:ascii="Calibri" w:hAnsi="Calibri"/>
                <w:sz w:val="22"/>
              </w:rPr>
              <w:t>Salem, Paul J.</w:t>
            </w:r>
          </w:p>
        </w:tc>
        <w:tc>
          <w:tcPr>
            <w:tcW w:type="dxa" w:w="1440"/>
          </w:tcPr>
          <w:p>
            <w:r>
              <w:rPr>
                <w:rFonts w:ascii="Calibri" w:hAnsi="Calibri"/>
                <w:sz w:val="22"/>
              </w:rPr>
              <w:t>Director</w:t>
            </w:r>
          </w:p>
        </w:tc>
        <w:tc>
          <w:tcPr>
            <w:tcW w:type="dxa" w:w="1440"/>
          </w:tcPr>
          <w:p>
            <w:r>
              <w:rPr>
                <w:rFonts w:ascii="Calibri" w:hAnsi="Calibri"/>
                <w:sz w:val="22"/>
              </w:rPr>
              <w:t>Director Compensation Award (Code A)</w:t>
            </w:r>
          </w:p>
        </w:tc>
        <w:tc>
          <w:tcPr>
            <w:tcW w:type="dxa" w:w="1440"/>
          </w:tcPr>
          <w:p>
            <w:r>
              <w:rPr>
                <w:rFonts w:ascii="Calibri" w:hAnsi="Calibri"/>
                <w:sz w:val="22"/>
              </w:rPr>
              <w:t>2,039 DSUs</w:t>
            </w:r>
          </w:p>
        </w:tc>
        <w:tc>
          <w:tcPr>
            <w:tcW w:type="dxa" w:w="1440"/>
          </w:tcPr>
          <w:p>
            <w:r>
              <w:rPr>
                <w:rFonts w:ascii="Calibri" w:hAnsi="Calibri"/>
                <w:sz w:val="22"/>
              </w:rPr>
              <w:t>June 30, 2026</w:t>
            </w:r>
          </w:p>
        </w:tc>
        <w:tc>
          <w:tcPr>
            <w:tcW w:type="dxa" w:w="1440"/>
          </w:tcPr>
          <w:p>
            <w:r>
              <w:rPr>
                <w:rFonts w:ascii="Calibri" w:hAnsi="Calibri"/>
                <w:sz w:val="22"/>
              </w:rPr>
              <w:t>Routine quarterly director compensation in deferred stock units</w:t>
            </w:r>
          </w:p>
        </w:tc>
      </w:tr>
      <w:tr>
        <w:tc>
          <w:tcPr>
            <w:tcW w:type="dxa" w:w="1440"/>
          </w:tcPr>
          <w:p>
            <w:r>
              <w:rPr>
                <w:rFonts w:ascii="Calibri" w:hAnsi="Calibri"/>
                <w:sz w:val="22"/>
              </w:rPr>
              <w:t>Multiple Directors (Barr, Langley, Levin, McKinney-James, Meister, Salem, Swartz, Taylor, Winston)</w:t>
            </w:r>
          </w:p>
        </w:tc>
        <w:tc>
          <w:tcPr>
            <w:tcW w:type="dxa" w:w="1440"/>
          </w:tcPr>
          <w:p>
            <w:r>
              <w:rPr>
                <w:rFonts w:ascii="Calibri" w:hAnsi="Calibri"/>
                <w:sz w:val="22"/>
              </w:rPr>
              <w:t>Directors</w:t>
            </w:r>
          </w:p>
        </w:tc>
        <w:tc>
          <w:tcPr>
            <w:tcW w:type="dxa" w:w="1440"/>
          </w:tcPr>
          <w:p>
            <w:r>
              <w:rPr>
                <w:rFonts w:ascii="Calibri" w:hAnsi="Calibri"/>
                <w:sz w:val="22"/>
              </w:rPr>
              <w:t>RSU Vesting (Code M) + New RSU Grant (Code A)</w:t>
            </w:r>
          </w:p>
        </w:tc>
        <w:tc>
          <w:tcPr>
            <w:tcW w:type="dxa" w:w="1440"/>
          </w:tcPr>
          <w:p>
            <w:r>
              <w:rPr>
                <w:rFonts w:ascii="Calibri" w:hAnsi="Calibri"/>
                <w:sz w:val="22"/>
              </w:rPr>
              <w:t>6,675 RSUs vested; 6,298 new RSUs granted per director</w:t>
            </w:r>
          </w:p>
        </w:tc>
        <w:tc>
          <w:tcPr>
            <w:tcW w:type="dxa" w:w="1440"/>
          </w:tcPr>
          <w:p>
            <w:r>
              <w:rPr>
                <w:rFonts w:ascii="Calibri" w:hAnsi="Calibri"/>
                <w:sz w:val="22"/>
              </w:rPr>
              <w:t>May 6–7, 2026</w:t>
            </w:r>
          </w:p>
        </w:tc>
        <w:tc>
          <w:tcPr>
            <w:tcW w:type="dxa" w:w="1440"/>
          </w:tcPr>
          <w:p>
            <w:r>
              <w:rPr>
                <w:rFonts w:ascii="Calibri" w:hAnsi="Calibri"/>
                <w:sz w:val="22"/>
              </w:rPr>
              <w:t>Annual director RSU vesting and new grant cycle; routine compensation event</w:t>
            </w:r>
          </w:p>
        </w:tc>
      </w:tr>
    </w:tbl>
    <w:p>
      <w:r>
        <w:rPr>
          <w:rFonts w:ascii="Calibri" w:hAnsi="Calibri"/>
          <w:i/>
          <w:color w:val="525866"/>
          <w:sz w:val="22"/>
        </w:rPr>
        <w:t>Source: Insider Transaction Data (SEC Form 4 filings).</w:t>
      </w:r>
      <w:r>
        <w:rPr>
          <w:rFonts w:ascii="Calibri" w:hAnsi="Calibri"/>
          <w:color w:val="525866"/>
          <w:sz w:val="22"/>
        </w:rPr>
        <w:t xml:space="preserve"> No open-market buys from any executive or director were filed in the window. The absence of executive buying is notable given the stock's discount to the People Inc. offer price for much of the period, though this may reflect blackout periods and legal constraints given the pending M&amp;A process.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