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MGM Resorts International (MGM) — Q2 2026 Earnings Preview</w:t>
      </w:r>
    </w:p>
    <w:tbl>
      <w:tblPr>
        <w:tblStyle w:val="TableGrid"/>
        <w:tblW w:type="auto" w:w="0"/>
        <w:tblLook w:firstColumn="1" w:firstRow="1" w:lastColumn="0" w:lastRow="0" w:noHBand="0" w:noVBand="1" w:val="04A0"/>
      </w:tblPr>
      <w:tblGrid>
        <w:gridCol w:w="4320"/>
        <w:gridCol w:w="4320"/>
      </w:tblGrid>
      <w:tr>
        <w:tc>
          <w:tcPr>
            <w:tcW w:type="dxa" w:w="4320"/>
          </w:tcPr>
          <w:p>
            <w:r>
              <w:rPr>
                <w:rFonts w:ascii="Calibri" w:hAnsi="Calibri"/>
                <w:b/>
                <w:sz w:val="22"/>
              </w:rPr>
              <w:t>Company</w:t>
            </w:r>
          </w:p>
        </w:tc>
        <w:tc>
          <w:tcPr>
            <w:tcW w:type="dxa" w:w="4320"/>
          </w:tcPr>
          <w:p>
            <w:r>
              <w:rPr>
                <w:rFonts w:ascii="Calibri" w:hAnsi="Calibri"/>
                <w:sz w:val="22"/>
              </w:rPr>
              <w:t>MGM Resorts International</w:t>
            </w:r>
          </w:p>
        </w:tc>
      </w:tr>
      <w:tr>
        <w:tc>
          <w:tcPr>
            <w:tcW w:type="dxa" w:w="4320"/>
          </w:tcPr>
          <w:p>
            <w:r>
              <w:rPr>
                <w:rFonts w:ascii="Calibri" w:hAnsi="Calibri"/>
                <w:b/>
                <w:sz w:val="22"/>
              </w:rPr>
              <w:t>Ticker</w:t>
            </w:r>
          </w:p>
        </w:tc>
        <w:tc>
          <w:tcPr>
            <w:tcW w:type="dxa" w:w="4320"/>
          </w:tcPr>
          <w:p>
            <w:r>
              <w:rPr>
                <w:rFonts w:ascii="Calibri" w:hAnsi="Calibri"/>
                <w:sz w:val="22"/>
              </w:rPr>
              <w:t>MGM (NYSE)</w:t>
            </w:r>
          </w:p>
        </w:tc>
      </w:tr>
      <w:tr>
        <w:tc>
          <w:tcPr>
            <w:tcW w:type="dxa" w:w="4320"/>
          </w:tcPr>
          <w:p>
            <w:r>
              <w:rPr>
                <w:rFonts w:ascii="Calibri" w:hAnsi="Calibri"/>
                <w:b/>
                <w:sz w:val="22"/>
              </w:rPr>
              <w:t>Reporting Period</w:t>
            </w:r>
          </w:p>
        </w:tc>
        <w:tc>
          <w:tcPr>
            <w:tcW w:type="dxa" w:w="4320"/>
          </w:tcPr>
          <w:p>
            <w:r>
              <w:rPr>
                <w:rFonts w:ascii="Calibri" w:hAnsi="Calibri"/>
                <w:sz w:val="22"/>
              </w:rPr>
              <w:t>Q2 2026 (April – June 30, 2026)</w:t>
            </w:r>
          </w:p>
        </w:tc>
      </w:tr>
      <w:tr>
        <w:tc>
          <w:tcPr>
            <w:tcW w:type="dxa" w:w="4320"/>
          </w:tcPr>
          <w:p>
            <w:r>
              <w:rPr>
                <w:rFonts w:ascii="Calibri" w:hAnsi="Calibri"/>
                <w:b/>
                <w:sz w:val="22"/>
              </w:rPr>
              <w:t>Earnings Date</w:t>
            </w:r>
          </w:p>
        </w:tc>
        <w:tc>
          <w:tcPr>
            <w:tcW w:type="dxa" w:w="4320"/>
          </w:tcPr>
          <w:p>
            <w:r>
              <w:rPr>
                <w:rFonts w:ascii="Calibri" w:hAnsi="Calibri"/>
                <w:sz w:val="22"/>
              </w:rPr>
              <w:t>July 29, 2026 (After Market Close) — Conference Call 5:00 PM ET</w:t>
            </w:r>
          </w:p>
        </w:tc>
      </w:tr>
      <w:tr>
        <w:tc>
          <w:tcPr>
            <w:tcW w:type="dxa" w:w="4320"/>
          </w:tcPr>
          <w:p>
            <w:r>
              <w:rPr>
                <w:rFonts w:ascii="Calibri" w:hAnsi="Calibri"/>
                <w:b/>
                <w:sz w:val="22"/>
              </w:rPr>
              <w:t>Prepared</w:t>
            </w:r>
          </w:p>
        </w:tc>
        <w:tc>
          <w:tcPr>
            <w:tcW w:type="dxa" w:w="4320"/>
          </w:tcPr>
          <w:p>
            <w:r>
              <w:rPr>
                <w:rFonts w:ascii="Calibri" w:hAnsi="Calibri"/>
                <w:sz w:val="22"/>
              </w:rPr>
              <w:t>July 27, 2026</w:t>
            </w:r>
          </w:p>
        </w:tc>
      </w:tr>
      <w:tr>
        <w:tc>
          <w:tcPr>
            <w:tcW w:type="dxa" w:w="4320"/>
          </w:tcPr>
          <w:p>
            <w:r>
              <w:rPr>
                <w:rFonts w:ascii="Calibri" w:hAnsi="Calibri"/>
                <w:b/>
                <w:sz w:val="22"/>
              </w:rPr>
              <w:t>Last Earnings</w:t>
            </w:r>
          </w:p>
        </w:tc>
        <w:tc>
          <w:tcPr>
            <w:tcW w:type="dxa" w:w="4320"/>
          </w:tcPr>
          <w:p>
            <w:r>
              <w:rPr>
                <w:rFonts w:ascii="Calibri" w:hAnsi="Calibri"/>
                <w:sz w:val="22"/>
              </w:rPr>
              <w:t>April 29, 2026 (Q1 2026)</w:t>
            </w:r>
          </w:p>
        </w:tc>
      </w:tr>
    </w:tbl>
    <w:p>
      <w:r>
        <w:br w:type="page"/>
      </w:r>
    </w:p>
    <w:p>
      <w:pPr>
        <w:pStyle w:val="Heading2"/>
      </w:pPr>
      <w:r>
        <w:rPr>
          <w:rFonts w:ascii="Calibri" w:hAnsi="Calibri"/>
          <w:b/>
          <w:color w:val="3B4259"/>
          <w:sz w:val="28"/>
        </w:rPr>
        <w:t>1. Earnings Preview</w:t>
      </w:r>
    </w:p>
    <w:p>
      <w:r>
        <w:rPr>
          <w:rFonts w:ascii="Calibri" w:hAnsi="Calibri"/>
          <w:b/>
          <w:color w:val="525866"/>
          <w:sz w:val="22"/>
        </w:rPr>
        <w:t xml:space="preserve">Key Takeaway: </w:t>
      </w:r>
      <w:r>
        <w:rPr>
          <w:rFonts w:ascii="Calibri" w:hAnsi="Calibri"/>
          <w:color w:val="525866"/>
          <w:sz w:val="22"/>
        </w:rPr>
        <w:t xml:space="preserve">The setup into Q2 2026 is mixed-to-constructive — consensus is a manageable bar, but the single biggest swing factor is whether the </w:t>
      </w:r>
      <w:r>
        <w:rPr>
          <w:rFonts w:ascii="Calibri" w:hAnsi="Calibri"/>
          <w:b/>
          <w:color w:val="525866"/>
          <w:sz w:val="22"/>
        </w:rPr>
        <w:t>World Cup-driven softness in Macau</w:t>
      </w:r>
      <w:r>
        <w:rPr>
          <w:rFonts w:ascii="Calibri" w:hAnsi="Calibri"/>
          <w:color w:val="525866"/>
          <w:sz w:val="22"/>
        </w:rPr>
        <w:t xml:space="preserve"> (confirmed by LVS's Q2 print) and the </w:t>
      </w:r>
      <w:r>
        <w:rPr>
          <w:rFonts w:ascii="Calibri" w:hAnsi="Calibri"/>
          <w:b/>
          <w:color w:val="525866"/>
          <w:sz w:val="22"/>
        </w:rPr>
        <w:t>BetMGM revenue trajectory</w:t>
      </w:r>
      <w:r>
        <w:rPr>
          <w:rFonts w:ascii="Calibri" w:hAnsi="Calibri"/>
          <w:color w:val="525866"/>
          <w:sz w:val="22"/>
        </w:rPr>
        <w:t xml:space="preserve"> can be offset by a Las Vegas Strip that management guided to accelerating convention mix and easier leisure comparisons.</w:t>
      </w:r>
    </w:p>
    <w:p>
      <w:r>
        <w:rPr>
          <w:rFonts w:ascii="Calibri" w:hAnsi="Calibri"/>
          <w:color w:val="525866"/>
          <w:sz w:val="22"/>
        </w:rPr>
        <w:t xml:space="preserve">Heading into the Q2 2026 print, the bar for MGM is achievable but not low. Consensus sits at roughly $4.42B in revenue and $623M in Adjusted EBITDA — both modestly below the Q1 2026 actuals on a sequential basis, consistent with typical Q2 seasonality. Management's tone on the Q1 call was constructive: CEO Bill Hornbuckle flagged April as "fine" and May as a "good month," convention room night mix was guided up 2 percentage points year-over-year to 20%, and the MGM Grand room renovation tailwind (54,000 incremental room nights) provides a structural lift absent in the prior year. Estimate revisions have been broadly stable since the Q1 print, with EPS drifting slightly higher from $0.57 to $0.68 over the past 60 days, suggesting the Street has modestly re-rated the setup. The stock has rallied sharply — up ~31% year-to-date and ~17% over the past three months — driven by multiple expansion and the Barry Diller/PPLI take-private bid at $48.30/share, meaning the stock is pricing in a meaningful premium to standalone intrinsic value and leaving limited room for a fundamental miss. The key wildcard is </w:t>
      </w:r>
      <w:r>
        <w:rPr>
          <w:rFonts w:ascii="Calibri" w:hAnsi="Calibri"/>
          <w:b/>
          <w:color w:val="525866"/>
          <w:sz w:val="22"/>
        </w:rPr>
        <w:t>Macau hold</w:t>
      </w:r>
      <w:r>
        <w:rPr>
          <w:rFonts w:ascii="Calibri" w:hAnsi="Calibri"/>
          <w:color w:val="525866"/>
          <w:sz w:val="22"/>
        </w:rPr>
        <w:t>: LVS reported the "largest hold adjustment in the history of Macau" in Q2, with VIP rolling hold at just 1.35% versus a 3.3% theoretical — a market-wide phenomenon that almost certainly weighed on MGM China's Q2 EBITDAR and could be the primary source of downside surprise relative to consensus.</w:t>
      </w:r>
    </w:p>
    <w:p>
      <w:r>
        <w:br w:type="page"/>
      </w:r>
    </w:p>
    <w:p>
      <w:pPr>
        <w:pStyle w:val="Heading2"/>
      </w:pPr>
      <w:r>
        <w:rPr>
          <w:rFonts w:ascii="Calibri" w:hAnsi="Calibri"/>
          <w:b/>
          <w:color w:val="3B4259"/>
          <w:sz w:val="28"/>
        </w:rPr>
        <w:t>2. KPIs &amp; Consensus Expectations</w:t>
      </w:r>
    </w:p>
    <w:p>
      <w:r>
        <w:rPr>
          <w:rFonts w:ascii="Calibri" w:hAnsi="Calibri"/>
          <w:b/>
          <w:color w:val="525866"/>
          <w:sz w:val="22"/>
        </w:rPr>
        <w:t xml:space="preserve">Key Takeaway: </w:t>
      </w:r>
      <w:r>
        <w:rPr>
          <w:rFonts w:ascii="Calibri" w:hAnsi="Calibri"/>
          <w:color w:val="525866"/>
          <w:sz w:val="22"/>
        </w:rPr>
        <w:t xml:space="preserve">Consensus is a manageable bar on revenue and Las Vegas EBITDAR, but </w:t>
      </w:r>
      <w:r>
        <w:rPr>
          <w:rFonts w:ascii="Calibri" w:hAnsi="Calibri"/>
          <w:b/>
          <w:color w:val="525866"/>
          <w:sz w:val="22"/>
        </w:rPr>
        <w:t>MGM China EBITDAR is the bigger swing factor</w:t>
      </w:r>
      <w:r>
        <w:rPr>
          <w:rFonts w:ascii="Calibri" w:hAnsi="Calibri"/>
          <w:color w:val="525866"/>
          <w:sz w:val="22"/>
        </w:rPr>
        <w:t xml:space="preserve"> given LVS's confirmed market-wide hold headwind in Q2. BetMGM EBITDA is the upside optionality.</w:t>
      </w:r>
    </w:p>
    <w:p>
      <w:pPr>
        <w:pStyle w:val="Heading3"/>
      </w:pPr>
      <w:r>
        <w:rPr>
          <w:rFonts w:ascii="Calibri" w:hAnsi="Calibri"/>
          <w:b/>
          <w:color w:val="3B4259"/>
          <w:sz w:val="24"/>
        </w:rPr>
        <w:t>Table 1 — Current Quarter Snapshot (Q2 2026)</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Q1 2026 Actual</w:t>
            </w:r>
          </w:p>
        </w:tc>
        <w:tc>
          <w:tcPr>
            <w:tcW w:type="dxa" w:w="1234"/>
            <w:shd w:val="clear" w:color="auto" w:fill="3B4259"/>
          </w:tcPr>
          <w:p>
            <w:r>
              <w:rPr>
                <w:rFonts w:ascii="Calibri" w:hAnsi="Calibri"/>
                <w:b/>
                <w:color w:val="FFFFFF"/>
                <w:sz w:val="22"/>
              </w:rPr>
              <w:t>Q2 2025 Actual (Prior Year)</w:t>
            </w:r>
          </w:p>
        </w:tc>
        <w:tc>
          <w:tcPr>
            <w:tcW w:type="dxa" w:w="1234"/>
            <w:shd w:val="clear" w:color="auto" w:fill="3B4259"/>
          </w:tcPr>
          <w:p>
            <w:r>
              <w:rPr>
                <w:rFonts w:ascii="Calibri" w:hAnsi="Calibri"/>
                <w:b/>
                <w:color w:val="FFFFFF"/>
                <w:sz w:val="22"/>
              </w:rPr>
              <w:t>Q2 2026 Consensus Estimate</w:t>
            </w:r>
          </w:p>
        </w:tc>
        <w:tc>
          <w:tcPr>
            <w:tcW w:type="dxa" w:w="1234"/>
            <w:shd w:val="clear" w:color="auto" w:fill="3B4259"/>
          </w:tcPr>
          <w:p>
            <w:r>
              <w:rPr>
                <w:rFonts w:ascii="Calibri" w:hAnsi="Calibri"/>
                <w:b/>
                <w:color w:val="FFFFFF"/>
                <w:sz w:val="22"/>
              </w:rPr>
              <w:t>YoY Change</w:t>
            </w:r>
          </w:p>
        </w:tc>
        <w:tc>
          <w:tcPr>
            <w:tcW w:type="dxa" w:w="1234"/>
            <w:shd w:val="clear" w:color="auto" w:fill="3B4259"/>
          </w:tcPr>
          <w:p>
            <w:r>
              <w:rPr>
                <w:rFonts w:ascii="Calibri" w:hAnsi="Calibri"/>
                <w:b/>
                <w:color w:val="FFFFFF"/>
                <w:sz w:val="22"/>
              </w:rPr>
              <w:t>Guidance / Mgmt Commentary</w:t>
            </w:r>
          </w:p>
        </w:tc>
        <w:tc>
          <w:tcPr>
            <w:tcW w:type="dxa" w:w="1234"/>
            <w:shd w:val="clear" w:color="auto" w:fill="3B4259"/>
          </w:tcPr>
          <w:p>
            <w:r>
              <w:rPr>
                <w:rFonts w:ascii="Calibri" w:hAnsi="Calibri"/>
                <w:b/>
                <w:color w:val="FFFFFF"/>
                <w:sz w:val="22"/>
              </w:rPr>
              <w:t>Consensus vs. Guidance</w:t>
            </w:r>
          </w:p>
        </w:tc>
      </w:tr>
      <w:tr>
        <w:tc>
          <w:tcPr>
            <w:tcW w:type="dxa" w:w="1234"/>
          </w:tcPr>
          <w:p>
            <w:r>
              <w:rPr>
                <w:rFonts w:ascii="Calibri" w:hAnsi="Calibri"/>
                <w:sz w:val="22"/>
              </w:rPr>
              <w:t>Total Revenue ($M)</w:t>
            </w:r>
          </w:p>
        </w:tc>
        <w:tc>
          <w:tcPr>
            <w:tcW w:type="dxa" w:w="1234"/>
          </w:tcPr>
          <w:p>
            <w:r>
              <w:rPr>
                <w:rFonts w:ascii="Calibri" w:hAnsi="Calibri"/>
                <w:sz w:val="22"/>
              </w:rPr>
              <w:t>$4,455</w:t>
            </w:r>
          </w:p>
        </w:tc>
        <w:tc>
          <w:tcPr>
            <w:tcW w:type="dxa" w:w="1234"/>
          </w:tcPr>
          <w:p>
            <w:r>
              <w:rPr>
                <w:rFonts w:ascii="Calibri" w:hAnsi="Calibri"/>
                <w:sz w:val="22"/>
              </w:rPr>
              <w:t>$4,405</w:t>
            </w:r>
          </w:p>
        </w:tc>
        <w:tc>
          <w:tcPr>
            <w:tcW w:type="dxa" w:w="1234"/>
          </w:tcPr>
          <w:p>
            <w:r>
              <w:rPr>
                <w:rFonts w:ascii="Calibri" w:hAnsi="Calibri"/>
                <w:sz w:val="22"/>
              </w:rPr>
              <w:t>$4,423</w:t>
            </w:r>
          </w:p>
        </w:tc>
        <w:tc>
          <w:tcPr>
            <w:tcW w:type="dxa" w:w="1234"/>
          </w:tcPr>
          <w:p>
            <w:r>
              <w:rPr>
                <w:rFonts w:ascii="Calibri" w:hAnsi="Calibri"/>
                <w:sz w:val="22"/>
              </w:rPr>
              <w:t>+0.4%</w:t>
            </w:r>
          </w:p>
        </w:tc>
        <w:tc>
          <w:tcPr>
            <w:tcW w:type="dxa" w:w="1234"/>
          </w:tcPr>
          <w:p>
            <w:r>
              <w:rPr>
                <w:rFonts w:ascii="Calibri" w:hAnsi="Calibri"/>
                <w:sz w:val="22"/>
              </w:rPr>
              <w:t>No specific Q2 guidance; mgmt guided to growth through balance of year, tempered modestly by macro</w:t>
            </w:r>
          </w:p>
        </w:tc>
        <w:tc>
          <w:tcPr>
            <w:tcW w:type="dxa" w:w="1234"/>
          </w:tcPr>
          <w:p>
            <w:r>
              <w:rPr>
                <w:rFonts w:ascii="Calibri" w:hAnsi="Calibri"/>
                <w:sz w:val="22"/>
              </w:rPr>
              <w:t>N/A — no numeric guidance</w:t>
            </w:r>
          </w:p>
        </w:tc>
      </w:tr>
      <w:tr>
        <w:tc>
          <w:tcPr>
            <w:tcW w:type="dxa" w:w="1234"/>
          </w:tcPr>
          <w:p>
            <w:r>
              <w:rPr>
                <w:rFonts w:ascii="Calibri" w:hAnsi="Calibri"/>
                <w:sz w:val="22"/>
              </w:rPr>
              <w:t>Adjusted EBITDA ($M)</w:t>
            </w:r>
          </w:p>
        </w:tc>
        <w:tc>
          <w:tcPr>
            <w:tcW w:type="dxa" w:w="1234"/>
          </w:tcPr>
          <w:p>
            <w:r>
              <w:rPr>
                <w:rFonts w:ascii="Calibri" w:hAnsi="Calibri"/>
                <w:sz w:val="22"/>
              </w:rPr>
              <w:t>$580</w:t>
            </w:r>
          </w:p>
        </w:tc>
        <w:tc>
          <w:tcPr>
            <w:tcW w:type="dxa" w:w="1234"/>
          </w:tcPr>
          <w:p>
            <w:r>
              <w:rPr>
                <w:rFonts w:ascii="Calibri" w:hAnsi="Calibri"/>
                <w:sz w:val="22"/>
              </w:rPr>
              <w:t>$648</w:t>
            </w:r>
          </w:p>
        </w:tc>
        <w:tc>
          <w:tcPr>
            <w:tcW w:type="dxa" w:w="1234"/>
          </w:tcPr>
          <w:p>
            <w:r>
              <w:rPr>
                <w:rFonts w:ascii="Calibri" w:hAnsi="Calibri"/>
                <w:sz w:val="22"/>
              </w:rPr>
              <w:t>$623</w:t>
            </w:r>
          </w:p>
        </w:tc>
        <w:tc>
          <w:tcPr>
            <w:tcW w:type="dxa" w:w="1234"/>
          </w:tcPr>
          <w:p>
            <w:r>
              <w:rPr>
                <w:rFonts w:ascii="Calibri" w:hAnsi="Calibri"/>
                <w:sz w:val="22"/>
              </w:rPr>
              <w:t>-3.8%</w:t>
            </w:r>
          </w:p>
        </w:tc>
        <w:tc>
          <w:tcPr>
            <w:tcW w:type="dxa" w:w="1234"/>
          </w:tcPr>
          <w:p>
            <w:r>
              <w:rPr>
                <w:rFonts w:ascii="Calibri" w:hAnsi="Calibri"/>
                <w:sz w:val="22"/>
              </w:rPr>
              <w:t>No specific Q2 guidance; expects Las Vegas EBITDA growth for full year</w:t>
            </w:r>
          </w:p>
        </w:tc>
        <w:tc>
          <w:tcPr>
            <w:tcW w:type="dxa" w:w="1234"/>
          </w:tcPr>
          <w:p>
            <w:r>
              <w:rPr>
                <w:rFonts w:ascii="Calibri" w:hAnsi="Calibri"/>
                <w:sz w:val="22"/>
              </w:rPr>
              <w:t>N/A — no numeric guidance</w:t>
            </w:r>
          </w:p>
        </w:tc>
      </w:tr>
      <w:tr>
        <w:tc>
          <w:tcPr>
            <w:tcW w:type="dxa" w:w="1234"/>
          </w:tcPr>
          <w:p>
            <w:r>
              <w:rPr>
                <w:rFonts w:ascii="Calibri" w:hAnsi="Calibri"/>
                <w:sz w:val="22"/>
              </w:rPr>
              <w:t>EPS — Diluted Operating ($)</w:t>
            </w:r>
          </w:p>
        </w:tc>
        <w:tc>
          <w:tcPr>
            <w:tcW w:type="dxa" w:w="1234"/>
          </w:tcPr>
          <w:p>
            <w:r>
              <w:rPr>
                <w:rFonts w:ascii="Calibri" w:hAnsi="Calibri"/>
                <w:sz w:val="22"/>
              </w:rPr>
              <w:t>$0.49</w:t>
            </w:r>
          </w:p>
        </w:tc>
        <w:tc>
          <w:tcPr>
            <w:tcW w:type="dxa" w:w="1234"/>
          </w:tcPr>
          <w:p>
            <w:r>
              <w:rPr>
                <w:rFonts w:ascii="Calibri" w:hAnsi="Calibri"/>
                <w:sz w:val="22"/>
              </w:rPr>
              <w:t>$0.79</w:t>
            </w:r>
          </w:p>
        </w:tc>
        <w:tc>
          <w:tcPr>
            <w:tcW w:type="dxa" w:w="1234"/>
          </w:tcPr>
          <w:p>
            <w:r>
              <w:rPr>
                <w:rFonts w:ascii="Calibri" w:hAnsi="Calibri"/>
                <w:sz w:val="22"/>
              </w:rPr>
              <w:t>$0.57</w:t>
            </w:r>
          </w:p>
        </w:tc>
        <w:tc>
          <w:tcPr>
            <w:tcW w:type="dxa" w:w="1234"/>
          </w:tcPr>
          <w:p>
            <w:r>
              <w:rPr>
                <w:rFonts w:ascii="Calibri" w:hAnsi="Calibri"/>
                <w:sz w:val="22"/>
              </w:rPr>
              <w:t>-27.8%</w:t>
            </w:r>
          </w:p>
        </w:tc>
        <w:tc>
          <w:tcPr>
            <w:tcW w:type="dxa" w:w="1234"/>
          </w:tcPr>
          <w:p>
            <w:r>
              <w:rPr>
                <w:rFonts w:ascii="Calibri" w:hAnsi="Calibri"/>
                <w:sz w:val="22"/>
              </w:rPr>
              <w:t>No specific EPS guidance provided</w:t>
            </w:r>
          </w:p>
        </w:tc>
        <w:tc>
          <w:tcPr>
            <w:tcW w:type="dxa" w:w="1234"/>
          </w:tcPr>
          <w:p>
            <w:r>
              <w:rPr>
                <w:rFonts w:ascii="Calibri" w:hAnsi="Calibri"/>
                <w:sz w:val="22"/>
              </w:rPr>
              <w:t>N/A — no numeric guidance</w:t>
            </w:r>
          </w:p>
        </w:tc>
      </w:tr>
      <w:tr>
        <w:tc>
          <w:tcPr>
            <w:tcW w:type="dxa" w:w="1234"/>
          </w:tcPr>
          <w:p>
            <w:r>
              <w:rPr>
                <w:rFonts w:ascii="Calibri" w:hAnsi="Calibri"/>
                <w:sz w:val="22"/>
              </w:rPr>
              <w:t>Las Vegas Property EBITDAR ($M)</w:t>
            </w:r>
          </w:p>
        </w:tc>
        <w:tc>
          <w:tcPr>
            <w:tcW w:type="dxa" w:w="1234"/>
          </w:tcPr>
          <w:p>
            <w:r>
              <w:rPr>
                <w:rFonts w:ascii="Calibri" w:hAnsi="Calibri"/>
                <w:sz w:val="22"/>
              </w:rPr>
              <w:t>$749</w:t>
            </w:r>
          </w:p>
        </w:tc>
        <w:tc>
          <w:tcPr>
            <w:tcW w:type="dxa" w:w="1234"/>
          </w:tcPr>
          <w:p>
            <w:r>
              <w:rPr>
                <w:rFonts w:ascii="Calibri" w:hAnsi="Calibri"/>
                <w:sz w:val="22"/>
              </w:rPr>
              <w:t>$710</w:t>
            </w:r>
          </w:p>
        </w:tc>
        <w:tc>
          <w:tcPr>
            <w:tcW w:type="dxa" w:w="1234"/>
          </w:tcPr>
          <w:p>
            <w:r>
              <w:rPr>
                <w:rFonts w:ascii="Calibri" w:hAnsi="Calibri"/>
                <w:sz w:val="22"/>
              </w:rPr>
              <w:t>$719</w:t>
            </w:r>
          </w:p>
        </w:tc>
        <w:tc>
          <w:tcPr>
            <w:tcW w:type="dxa" w:w="1234"/>
          </w:tcPr>
          <w:p>
            <w:r>
              <w:rPr>
                <w:rFonts w:ascii="Calibri" w:hAnsi="Calibri"/>
                <w:sz w:val="22"/>
              </w:rPr>
              <w:t>+1.3%</w:t>
            </w:r>
          </w:p>
        </w:tc>
        <w:tc>
          <w:tcPr>
            <w:tcW w:type="dxa" w:w="1234"/>
          </w:tcPr>
          <w:p>
            <w:r>
              <w:rPr>
                <w:rFonts w:ascii="Calibri" w:hAnsi="Calibri"/>
                <w:sz w:val="22"/>
              </w:rPr>
              <w:t>Convention room night mix guided +2pp YoY to 20%; 54K incremental MGM Grand room nights; high-end strength continuing</w:t>
            </w:r>
          </w:p>
        </w:tc>
        <w:tc>
          <w:tcPr>
            <w:tcW w:type="dxa" w:w="1234"/>
          </w:tcPr>
          <w:p>
            <w:r>
              <w:rPr>
                <w:rFonts w:ascii="Calibri" w:hAnsi="Calibri"/>
                <w:sz w:val="22"/>
              </w:rPr>
              <w:t>N/A — no numeric guidance</w:t>
            </w:r>
          </w:p>
        </w:tc>
      </w:tr>
      <w:tr>
        <w:tc>
          <w:tcPr>
            <w:tcW w:type="dxa" w:w="1234"/>
          </w:tcPr>
          <w:p>
            <w:r>
              <w:rPr>
                <w:rFonts w:ascii="Calibri" w:hAnsi="Calibri"/>
                <w:sz w:val="22"/>
              </w:rPr>
              <w:t>MGM China Property EBITDAR ($M)</w:t>
            </w:r>
          </w:p>
        </w:tc>
        <w:tc>
          <w:tcPr>
            <w:tcW w:type="dxa" w:w="1234"/>
          </w:tcPr>
          <w:p>
            <w:r>
              <w:rPr>
                <w:rFonts w:ascii="Calibri" w:hAnsi="Calibri"/>
                <w:sz w:val="22"/>
              </w:rPr>
              <w:t>$273</w:t>
            </w:r>
          </w:p>
        </w:tc>
        <w:tc>
          <w:tcPr>
            <w:tcW w:type="dxa" w:w="1234"/>
          </w:tcPr>
          <w:p>
            <w:r>
              <w:rPr>
                <w:rFonts w:ascii="Calibri" w:hAnsi="Calibri"/>
                <w:sz w:val="22"/>
              </w:rPr>
              <w:t>$301</w:t>
            </w:r>
          </w:p>
        </w:tc>
        <w:tc>
          <w:tcPr>
            <w:tcW w:type="dxa" w:w="1234"/>
          </w:tcPr>
          <w:p>
            <w:r>
              <w:rPr>
                <w:rFonts w:ascii="Calibri" w:hAnsi="Calibri"/>
                <w:sz w:val="22"/>
              </w:rPr>
              <w:t>$278</w:t>
            </w:r>
          </w:p>
        </w:tc>
        <w:tc>
          <w:tcPr>
            <w:tcW w:type="dxa" w:w="1234"/>
          </w:tcPr>
          <w:p>
            <w:r>
              <w:rPr>
                <w:rFonts w:ascii="Calibri" w:hAnsi="Calibri"/>
                <w:sz w:val="22"/>
              </w:rPr>
              <w:t>-7.6%</w:t>
            </w:r>
          </w:p>
        </w:tc>
        <w:tc>
          <w:tcPr>
            <w:tcW w:type="dxa" w:w="1234"/>
          </w:tcPr>
          <w:p>
            <w:r>
              <w:rPr>
                <w:rFonts w:ascii="Calibri" w:hAnsi="Calibri"/>
                <w:sz w:val="22"/>
              </w:rPr>
              <w:t>Mid-20s segment EBITDA margin guided under new branding fee structure; market share ~17% exiting Q1</w:t>
            </w:r>
          </w:p>
        </w:tc>
        <w:tc>
          <w:tcPr>
            <w:tcW w:type="dxa" w:w="1234"/>
          </w:tcPr>
          <w:p>
            <w:r>
              <w:rPr>
                <w:rFonts w:ascii="Calibri" w:hAnsi="Calibri"/>
                <w:sz w:val="22"/>
              </w:rPr>
              <w:t>N/A — no numeric guidance</w:t>
            </w:r>
          </w:p>
        </w:tc>
      </w:tr>
      <w:tr>
        <w:tc>
          <w:tcPr>
            <w:tcW w:type="dxa" w:w="1234"/>
          </w:tcPr>
          <w:p>
            <w:r>
              <w:rPr>
                <w:rFonts w:ascii="Calibri" w:hAnsi="Calibri"/>
                <w:sz w:val="22"/>
              </w:rPr>
              <w:t>BetMGM EBITDA ($M)</w:t>
            </w:r>
          </w:p>
        </w:tc>
        <w:tc>
          <w:tcPr>
            <w:tcW w:type="dxa" w:w="1234"/>
          </w:tcPr>
          <w:p>
            <w:r>
              <w:rPr>
                <w:rFonts w:ascii="Calibri" w:hAnsi="Calibri"/>
                <w:sz w:val="22"/>
              </w:rPr>
              <w:t>$20</w:t>
            </w:r>
          </w:p>
        </w:tc>
        <w:tc>
          <w:tcPr>
            <w:tcW w:type="dxa" w:w="1234"/>
          </w:tcPr>
          <w:p>
            <w:r>
              <w:rPr>
                <w:rFonts w:ascii="Calibri" w:hAnsi="Calibri"/>
                <w:sz w:val="22"/>
              </w:rPr>
              <w:t>$65</w:t>
            </w:r>
          </w:p>
        </w:tc>
        <w:tc>
          <w:tcPr>
            <w:tcW w:type="dxa" w:w="1234"/>
          </w:tcPr>
          <w:p>
            <w:r>
              <w:rPr>
                <w:rFonts w:ascii="Calibri" w:hAnsi="Calibri"/>
                <w:sz w:val="22"/>
              </w:rPr>
              <w:t>$74</w:t>
            </w:r>
          </w:p>
        </w:tc>
        <w:tc>
          <w:tcPr>
            <w:tcW w:type="dxa" w:w="1234"/>
          </w:tcPr>
          <w:p>
            <w:r>
              <w:rPr>
                <w:rFonts w:ascii="Calibri" w:hAnsi="Calibri"/>
                <w:sz w:val="22"/>
              </w:rPr>
              <w:t>+13.8%</w:t>
            </w:r>
          </w:p>
        </w:tc>
        <w:tc>
          <w:tcPr>
            <w:tcW w:type="dxa" w:w="1234"/>
          </w:tcPr>
          <w:p>
            <w:r>
              <w:rPr>
                <w:rFonts w:ascii="Calibri" w:hAnsi="Calibri"/>
                <w:sz w:val="22"/>
              </w:rPr>
              <w:t>FY2026 EBITDA guidance maintained at lower end of prior range; iGaming prioritized; sports spend moderated</w:t>
            </w:r>
          </w:p>
        </w:tc>
        <w:tc>
          <w:tcPr>
            <w:tcW w:type="dxa" w:w="1234"/>
          </w:tcPr>
          <w:p>
            <w:r>
              <w:rPr>
                <w:rFonts w:ascii="Calibri" w:hAnsi="Calibri"/>
                <w:sz w:val="22"/>
              </w:rPr>
              <w:t>N/A — no numeric guidance</w:t>
            </w:r>
          </w:p>
        </w:tc>
      </w:tr>
    </w:tbl>
    <w:p>
      <w:r>
        <w:rPr>
          <w:rFonts w:ascii="Calibri" w:hAnsi="Calibri"/>
          <w:i/>
          <w:color w:val="525866"/>
          <w:sz w:val="22"/>
        </w:rPr>
        <w:t>Source: Visible Alpha Consensus and Actuals Data. All consensus figures as of July 27, 2026.</w:t>
      </w:r>
    </w:p>
    <w:p>
      <w:pPr>
        <w:pStyle w:val="Heading3"/>
      </w:pPr>
      <w:r>
        <w:rPr>
          <w:rFonts w:ascii="Calibri" w:hAnsi="Calibri"/>
          <w:b/>
          <w:color w:val="3B4259"/>
          <w:sz w:val="24"/>
        </w:rPr>
        <w:t>Table 2 — Beat/Miss History (Last 8 Quarters)</w:t>
      </w:r>
    </w:p>
    <w:p>
      <w:r>
        <w:rPr>
          <w:rFonts w:ascii="Calibri" w:hAnsi="Calibri"/>
          <w:b/>
          <w:color w:val="525866"/>
          <w:sz w:val="22"/>
        </w:rPr>
        <w:t>Top KPI #1: Las Vegas Property EBITDAR | Top KPI #2: MGM China Property EBITDAR</w:t>
      </w:r>
    </w:p>
    <w:tbl>
      <w:tblPr>
        <w:tblStyle w:val="TableGrid"/>
        <w:tblW w:type="auto" w:w="0"/>
        <w:tblLook w:firstColumn="1" w:firstRow="1" w:lastColumn="0" w:lastRow="0" w:noHBand="0" w:noVBand="1" w:val="04A0"/>
      </w:tblPr>
      <w:tblGrid>
        <w:gridCol w:w="960"/>
        <w:gridCol w:w="960"/>
        <w:gridCol w:w="960"/>
        <w:gridCol w:w="960"/>
        <w:gridCol w:w="960"/>
        <w:gridCol w:w="960"/>
        <w:gridCol w:w="960"/>
        <w:gridCol w:w="960"/>
        <w:gridCol w:w="960"/>
      </w:tblGrid>
      <w:tr>
        <w:tc>
          <w:tcPr>
            <w:tcW w:type="dxa" w:w="960"/>
            <w:shd w:val="clear" w:color="auto" w:fill="3B4259"/>
          </w:tcPr>
          <w:p>
            <w:r>
              <w:rPr>
                <w:rFonts w:ascii="Calibri" w:hAnsi="Calibri"/>
                <w:b/>
                <w:color w:val="FFFFFF"/>
                <w:sz w:val="22"/>
              </w:rPr>
              <w:t>Quarter</w:t>
            </w:r>
          </w:p>
        </w:tc>
        <w:tc>
          <w:tcPr>
            <w:tcW w:type="dxa" w:w="960"/>
            <w:shd w:val="clear" w:color="auto" w:fill="3B4259"/>
          </w:tcPr>
          <w:p>
            <w:r>
              <w:rPr>
                <w:rFonts w:ascii="Calibri" w:hAnsi="Calibri"/>
                <w:b/>
                <w:color w:val="FFFFFF"/>
                <w:sz w:val="22"/>
              </w:rPr>
              <w:t>LV EBITDAR Reported ($M)</w:t>
            </w:r>
          </w:p>
        </w:tc>
        <w:tc>
          <w:tcPr>
            <w:tcW w:type="dxa" w:w="960"/>
            <w:shd w:val="clear" w:color="auto" w:fill="3B4259"/>
          </w:tcPr>
          <w:p>
            <w:r>
              <w:rPr>
                <w:rFonts w:ascii="Calibri" w:hAnsi="Calibri"/>
                <w:b/>
                <w:color w:val="FFFFFF"/>
                <w:sz w:val="22"/>
              </w:rPr>
              <w:t>LV EBITDAR Consensus ($M)</w:t>
            </w:r>
          </w:p>
        </w:tc>
        <w:tc>
          <w:tcPr>
            <w:tcW w:type="dxa" w:w="960"/>
            <w:shd w:val="clear" w:color="auto" w:fill="3B4259"/>
          </w:tcPr>
          <w:p>
            <w:r>
              <w:rPr>
                <w:rFonts w:ascii="Calibri" w:hAnsi="Calibri"/>
                <w:b/>
                <w:color w:val="FFFFFF"/>
                <w:sz w:val="22"/>
              </w:rPr>
              <w:t>LV Surprise %</w:t>
            </w:r>
          </w:p>
        </w:tc>
        <w:tc>
          <w:tcPr>
            <w:tcW w:type="dxa" w:w="960"/>
            <w:shd w:val="clear" w:color="auto" w:fill="3B4259"/>
          </w:tcPr>
          <w:p>
            <w:r>
              <w:rPr>
                <w:rFonts w:ascii="Calibri" w:hAnsi="Calibri"/>
                <w:b/>
                <w:color w:val="FFFFFF"/>
                <w:sz w:val="22"/>
              </w:rPr>
              <w:t>LV Result</w:t>
            </w:r>
          </w:p>
        </w:tc>
        <w:tc>
          <w:tcPr>
            <w:tcW w:type="dxa" w:w="960"/>
            <w:shd w:val="clear" w:color="auto" w:fill="3B4259"/>
          </w:tcPr>
          <w:p>
            <w:r>
              <w:rPr>
                <w:rFonts w:ascii="Calibri" w:hAnsi="Calibri"/>
                <w:b/>
                <w:color w:val="FFFFFF"/>
                <w:sz w:val="22"/>
              </w:rPr>
              <w:t>China EBITDAR Reported ($M)</w:t>
            </w:r>
          </w:p>
        </w:tc>
        <w:tc>
          <w:tcPr>
            <w:tcW w:type="dxa" w:w="960"/>
            <w:shd w:val="clear" w:color="auto" w:fill="3B4259"/>
          </w:tcPr>
          <w:p>
            <w:r>
              <w:rPr>
                <w:rFonts w:ascii="Calibri" w:hAnsi="Calibri"/>
                <w:b/>
                <w:color w:val="FFFFFF"/>
                <w:sz w:val="22"/>
              </w:rPr>
              <w:t>China EBITDAR Consensus ($M)</w:t>
            </w:r>
          </w:p>
        </w:tc>
        <w:tc>
          <w:tcPr>
            <w:tcW w:type="dxa" w:w="960"/>
            <w:shd w:val="clear" w:color="auto" w:fill="3B4259"/>
          </w:tcPr>
          <w:p>
            <w:r>
              <w:rPr>
                <w:rFonts w:ascii="Calibri" w:hAnsi="Calibri"/>
                <w:b/>
                <w:color w:val="FFFFFF"/>
                <w:sz w:val="22"/>
              </w:rPr>
              <w:t>China Surprise %</w:t>
            </w:r>
          </w:p>
        </w:tc>
        <w:tc>
          <w:tcPr>
            <w:tcW w:type="dxa" w:w="960"/>
            <w:shd w:val="clear" w:color="auto" w:fill="3B4259"/>
          </w:tcPr>
          <w:p>
            <w:r>
              <w:rPr>
                <w:rFonts w:ascii="Calibri" w:hAnsi="Calibri"/>
                <w:b/>
                <w:color w:val="FFFFFF"/>
                <w:sz w:val="22"/>
              </w:rPr>
              <w:t>China Result</w:t>
            </w:r>
          </w:p>
        </w:tc>
      </w:tr>
      <w:tr>
        <w:tc>
          <w:tcPr>
            <w:tcW w:type="dxa" w:w="960"/>
          </w:tcPr>
          <w:p>
            <w:r>
              <w:rPr>
                <w:rFonts w:ascii="Calibri" w:hAnsi="Calibri"/>
                <w:sz w:val="22"/>
              </w:rPr>
              <w:t>Q2 2024</w:t>
            </w:r>
          </w:p>
        </w:tc>
        <w:tc>
          <w:tcPr>
            <w:tcW w:type="dxa" w:w="960"/>
          </w:tcPr>
          <w:p>
            <w:r>
              <w:rPr>
                <w:rFonts w:ascii="Calibri" w:hAnsi="Calibri"/>
                <w:sz w:val="22"/>
              </w:rPr>
              <w:t>$710</w:t>
            </w:r>
          </w:p>
        </w:tc>
        <w:tc>
          <w:tcPr>
            <w:tcW w:type="dxa" w:w="960"/>
          </w:tcPr>
          <w:p>
            <w:r>
              <w:rPr>
                <w:rFonts w:ascii="Calibri" w:hAnsi="Calibri"/>
                <w:sz w:val="22"/>
              </w:rPr>
              <w:t>$743</w:t>
            </w:r>
          </w:p>
        </w:tc>
        <w:tc>
          <w:tcPr>
            <w:tcW w:type="dxa" w:w="960"/>
          </w:tcPr>
          <w:p>
            <w:r>
              <w:rPr>
                <w:rFonts w:ascii="Calibri" w:hAnsi="Calibri"/>
                <w:sz w:val="22"/>
              </w:rPr>
              <w:t>-4.4%</w:t>
            </w:r>
          </w:p>
        </w:tc>
        <w:tc>
          <w:tcPr>
            <w:tcW w:type="dxa" w:w="960"/>
          </w:tcPr>
          <w:p>
            <w:r>
              <w:rPr>
                <w:rFonts w:ascii="Calibri" w:hAnsi="Calibri"/>
                <w:b/>
                <w:color w:val="E5484D"/>
                <w:sz w:val="22"/>
              </w:rPr>
              <w:t>Miss</w:t>
            </w:r>
          </w:p>
        </w:tc>
        <w:tc>
          <w:tcPr>
            <w:tcW w:type="dxa" w:w="960"/>
          </w:tcPr>
          <w:p>
            <w:r>
              <w:rPr>
                <w:rFonts w:ascii="Calibri" w:hAnsi="Calibri"/>
                <w:sz w:val="22"/>
              </w:rPr>
              <w:t>$301</w:t>
            </w:r>
          </w:p>
        </w:tc>
        <w:tc>
          <w:tcPr>
            <w:tcW w:type="dxa" w:w="960"/>
          </w:tcPr>
          <w:p>
            <w:r>
              <w:rPr>
                <w:rFonts w:ascii="Calibri" w:hAnsi="Calibri"/>
                <w:sz w:val="22"/>
              </w:rPr>
              <w:t>$277</w:t>
            </w:r>
          </w:p>
        </w:tc>
        <w:tc>
          <w:tcPr>
            <w:tcW w:type="dxa" w:w="960"/>
          </w:tcPr>
          <w:p>
            <w:r>
              <w:rPr>
                <w:rFonts w:ascii="Calibri" w:hAnsi="Calibri"/>
                <w:sz w:val="22"/>
              </w:rPr>
              <w:t>+8.7%</w:t>
            </w:r>
          </w:p>
        </w:tc>
        <w:tc>
          <w:tcPr>
            <w:tcW w:type="dxa" w:w="960"/>
          </w:tcPr>
          <w:p>
            <w:r>
              <w:rPr>
                <w:rFonts w:ascii="Calibri" w:hAnsi="Calibri"/>
                <w:b/>
                <w:color w:val="30A46C"/>
                <w:sz w:val="22"/>
              </w:rPr>
              <w:t>Beat</w:t>
            </w:r>
          </w:p>
        </w:tc>
      </w:tr>
      <w:tr>
        <w:tc>
          <w:tcPr>
            <w:tcW w:type="dxa" w:w="960"/>
          </w:tcPr>
          <w:p>
            <w:r>
              <w:rPr>
                <w:rFonts w:ascii="Calibri" w:hAnsi="Calibri"/>
                <w:sz w:val="22"/>
              </w:rPr>
              <w:t>Q3 2024</w:t>
            </w:r>
          </w:p>
        </w:tc>
        <w:tc>
          <w:tcPr>
            <w:tcW w:type="dxa" w:w="960"/>
          </w:tcPr>
          <w:p>
            <w:r>
              <w:rPr>
                <w:rFonts w:ascii="Calibri" w:hAnsi="Calibri"/>
                <w:sz w:val="22"/>
              </w:rPr>
              <w:t>$731</w:t>
            </w:r>
          </w:p>
        </w:tc>
        <w:tc>
          <w:tcPr>
            <w:tcW w:type="dxa" w:w="960"/>
          </w:tcPr>
          <w:p>
            <w:r>
              <w:rPr>
                <w:rFonts w:ascii="Calibri" w:hAnsi="Calibri"/>
                <w:sz w:val="22"/>
              </w:rPr>
              <w:t>$745</w:t>
            </w:r>
          </w:p>
        </w:tc>
        <w:tc>
          <w:tcPr>
            <w:tcW w:type="dxa" w:w="960"/>
          </w:tcPr>
          <w:p>
            <w:r>
              <w:rPr>
                <w:rFonts w:ascii="Calibri" w:hAnsi="Calibri"/>
                <w:sz w:val="22"/>
              </w:rPr>
              <w:t>-1.9%</w:t>
            </w:r>
          </w:p>
        </w:tc>
        <w:tc>
          <w:tcPr>
            <w:tcW w:type="dxa" w:w="960"/>
          </w:tcPr>
          <w:p>
            <w:r>
              <w:rPr>
                <w:rFonts w:ascii="Calibri" w:hAnsi="Calibri"/>
                <w:b/>
                <w:color w:val="E5484D"/>
                <w:sz w:val="22"/>
              </w:rPr>
              <w:t>Miss</w:t>
            </w:r>
          </w:p>
        </w:tc>
        <w:tc>
          <w:tcPr>
            <w:tcW w:type="dxa" w:w="960"/>
          </w:tcPr>
          <w:p>
            <w:r>
              <w:rPr>
                <w:rFonts w:ascii="Calibri" w:hAnsi="Calibri"/>
                <w:sz w:val="22"/>
              </w:rPr>
              <w:t>$237</w:t>
            </w:r>
          </w:p>
        </w:tc>
        <w:tc>
          <w:tcPr>
            <w:tcW w:type="dxa" w:w="960"/>
          </w:tcPr>
          <w:p>
            <w:r>
              <w:rPr>
                <w:rFonts w:ascii="Calibri" w:hAnsi="Calibri"/>
                <w:sz w:val="22"/>
              </w:rPr>
              <w:t>$267</w:t>
            </w:r>
          </w:p>
        </w:tc>
        <w:tc>
          <w:tcPr>
            <w:tcW w:type="dxa" w:w="960"/>
          </w:tcPr>
          <w:p>
            <w:r>
              <w:rPr>
                <w:rFonts w:ascii="Calibri" w:hAnsi="Calibri"/>
                <w:sz w:val="22"/>
              </w:rPr>
              <w:t>-11.2%</w:t>
            </w:r>
          </w:p>
        </w:tc>
        <w:tc>
          <w:tcPr>
            <w:tcW w:type="dxa" w:w="960"/>
          </w:tcPr>
          <w:p>
            <w:r>
              <w:rPr>
                <w:rFonts w:ascii="Calibri" w:hAnsi="Calibri"/>
                <w:b/>
                <w:color w:val="E5484D"/>
                <w:sz w:val="22"/>
              </w:rPr>
              <w:t>Miss</w:t>
            </w:r>
          </w:p>
        </w:tc>
      </w:tr>
      <w:tr>
        <w:tc>
          <w:tcPr>
            <w:tcW w:type="dxa" w:w="960"/>
          </w:tcPr>
          <w:p>
            <w:r>
              <w:rPr>
                <w:rFonts w:ascii="Calibri" w:hAnsi="Calibri"/>
                <w:sz w:val="22"/>
              </w:rPr>
              <w:t>Q4 2024</w:t>
            </w:r>
          </w:p>
        </w:tc>
        <w:tc>
          <w:tcPr>
            <w:tcW w:type="dxa" w:w="960"/>
          </w:tcPr>
          <w:p>
            <w:r>
              <w:rPr>
                <w:rFonts w:ascii="Calibri" w:hAnsi="Calibri"/>
                <w:sz w:val="22"/>
              </w:rPr>
              <w:t>$765</w:t>
            </w:r>
          </w:p>
        </w:tc>
        <w:tc>
          <w:tcPr>
            <w:tcW w:type="dxa" w:w="960"/>
          </w:tcPr>
          <w:p>
            <w:r>
              <w:rPr>
                <w:rFonts w:ascii="Calibri" w:hAnsi="Calibri"/>
                <w:sz w:val="22"/>
              </w:rPr>
              <w:t>$756</w:t>
            </w:r>
          </w:p>
        </w:tc>
        <w:tc>
          <w:tcPr>
            <w:tcW w:type="dxa" w:w="960"/>
          </w:tcPr>
          <w:p>
            <w:r>
              <w:rPr>
                <w:rFonts w:ascii="Calibri" w:hAnsi="Calibri"/>
                <w:sz w:val="22"/>
              </w:rPr>
              <w:t>+1.2%</w:t>
            </w:r>
          </w:p>
        </w:tc>
        <w:tc>
          <w:tcPr>
            <w:tcW w:type="dxa" w:w="960"/>
          </w:tcPr>
          <w:p>
            <w:r>
              <w:rPr>
                <w:rFonts w:ascii="Calibri" w:hAnsi="Calibri"/>
                <w:b/>
                <w:color w:val="30A46C"/>
                <w:sz w:val="22"/>
              </w:rPr>
              <w:t>Beat</w:t>
            </w:r>
          </w:p>
        </w:tc>
        <w:tc>
          <w:tcPr>
            <w:tcW w:type="dxa" w:w="960"/>
          </w:tcPr>
          <w:p>
            <w:r>
              <w:rPr>
                <w:rFonts w:ascii="Calibri" w:hAnsi="Calibri"/>
                <w:sz w:val="22"/>
              </w:rPr>
              <w:t>$255</w:t>
            </w:r>
          </w:p>
        </w:tc>
        <w:tc>
          <w:tcPr>
            <w:tcW w:type="dxa" w:w="960"/>
          </w:tcPr>
          <w:p>
            <w:r>
              <w:rPr>
                <w:rFonts w:ascii="Calibri" w:hAnsi="Calibri"/>
                <w:sz w:val="22"/>
              </w:rPr>
              <w:t>$247</w:t>
            </w:r>
          </w:p>
        </w:tc>
        <w:tc>
          <w:tcPr>
            <w:tcW w:type="dxa" w:w="960"/>
          </w:tcPr>
          <w:p>
            <w:r>
              <w:rPr>
                <w:rFonts w:ascii="Calibri" w:hAnsi="Calibri"/>
                <w:sz w:val="22"/>
              </w:rPr>
              <w:t>+3.2%</w:t>
            </w:r>
          </w:p>
        </w:tc>
        <w:tc>
          <w:tcPr>
            <w:tcW w:type="dxa" w:w="960"/>
          </w:tcPr>
          <w:p>
            <w:r>
              <w:rPr>
                <w:rFonts w:ascii="Calibri" w:hAnsi="Calibri"/>
                <w:b/>
                <w:color w:val="30A46C"/>
                <w:sz w:val="22"/>
              </w:rPr>
              <w:t>Beat</w:t>
            </w:r>
          </w:p>
        </w:tc>
      </w:tr>
      <w:tr>
        <w:tc>
          <w:tcPr>
            <w:tcW w:type="dxa" w:w="960"/>
          </w:tcPr>
          <w:p>
            <w:r>
              <w:rPr>
                <w:rFonts w:ascii="Calibri" w:hAnsi="Calibri"/>
                <w:sz w:val="22"/>
              </w:rPr>
              <w:t>Q1 2025</w:t>
            </w:r>
          </w:p>
        </w:tc>
        <w:tc>
          <w:tcPr>
            <w:tcW w:type="dxa" w:w="960"/>
          </w:tcPr>
          <w:p>
            <w:r>
              <w:rPr>
                <w:rFonts w:ascii="Calibri" w:hAnsi="Calibri"/>
                <w:sz w:val="22"/>
              </w:rPr>
              <w:t>$811</w:t>
            </w:r>
          </w:p>
        </w:tc>
        <w:tc>
          <w:tcPr>
            <w:tcW w:type="dxa" w:w="960"/>
          </w:tcPr>
          <w:p>
            <w:r>
              <w:rPr>
                <w:rFonts w:ascii="Calibri" w:hAnsi="Calibri"/>
                <w:sz w:val="22"/>
              </w:rPr>
              <w:t>$763</w:t>
            </w:r>
          </w:p>
        </w:tc>
        <w:tc>
          <w:tcPr>
            <w:tcW w:type="dxa" w:w="960"/>
          </w:tcPr>
          <w:p>
            <w:r>
              <w:rPr>
                <w:rFonts w:ascii="Calibri" w:hAnsi="Calibri"/>
                <w:sz w:val="22"/>
              </w:rPr>
              <w:t>+6.3%</w:t>
            </w:r>
          </w:p>
        </w:tc>
        <w:tc>
          <w:tcPr>
            <w:tcW w:type="dxa" w:w="960"/>
          </w:tcPr>
          <w:p>
            <w:r>
              <w:rPr>
                <w:rFonts w:ascii="Calibri" w:hAnsi="Calibri"/>
                <w:b/>
                <w:color w:val="30A46C"/>
                <w:sz w:val="22"/>
              </w:rPr>
              <w:t>Beat</w:t>
            </w:r>
          </w:p>
        </w:tc>
        <w:tc>
          <w:tcPr>
            <w:tcW w:type="dxa" w:w="960"/>
          </w:tcPr>
          <w:p>
            <w:r>
              <w:rPr>
                <w:rFonts w:ascii="Calibri" w:hAnsi="Calibri"/>
                <w:sz w:val="22"/>
              </w:rPr>
              <w:t>$286</w:t>
            </w:r>
          </w:p>
        </w:tc>
        <w:tc>
          <w:tcPr>
            <w:tcW w:type="dxa" w:w="960"/>
          </w:tcPr>
          <w:p>
            <w:r>
              <w:rPr>
                <w:rFonts w:ascii="Calibri" w:hAnsi="Calibri"/>
                <w:sz w:val="22"/>
              </w:rPr>
              <w:t>$255</w:t>
            </w:r>
          </w:p>
        </w:tc>
        <w:tc>
          <w:tcPr>
            <w:tcW w:type="dxa" w:w="960"/>
          </w:tcPr>
          <w:p>
            <w:r>
              <w:rPr>
                <w:rFonts w:ascii="Calibri" w:hAnsi="Calibri"/>
                <w:sz w:val="22"/>
              </w:rPr>
              <w:t>+12.2%</w:t>
            </w:r>
          </w:p>
        </w:tc>
        <w:tc>
          <w:tcPr>
            <w:tcW w:type="dxa" w:w="960"/>
          </w:tcPr>
          <w:p>
            <w:r>
              <w:rPr>
                <w:rFonts w:ascii="Calibri" w:hAnsi="Calibri"/>
                <w:b/>
                <w:color w:val="30A46C"/>
                <w:sz w:val="22"/>
              </w:rPr>
              <w:t>Beat</w:t>
            </w:r>
          </w:p>
        </w:tc>
      </w:tr>
      <w:tr>
        <w:tc>
          <w:tcPr>
            <w:tcW w:type="dxa" w:w="960"/>
          </w:tcPr>
          <w:p>
            <w:r>
              <w:rPr>
                <w:rFonts w:ascii="Calibri" w:hAnsi="Calibri"/>
                <w:sz w:val="22"/>
              </w:rPr>
              <w:t>Q2 2025</w:t>
            </w:r>
          </w:p>
        </w:tc>
        <w:tc>
          <w:tcPr>
            <w:tcW w:type="dxa" w:w="960"/>
          </w:tcPr>
          <w:p>
            <w:r>
              <w:rPr>
                <w:rFonts w:ascii="Calibri" w:hAnsi="Calibri"/>
                <w:sz w:val="22"/>
              </w:rPr>
              <w:t>$710</w:t>
            </w:r>
          </w:p>
        </w:tc>
        <w:tc>
          <w:tcPr>
            <w:tcW w:type="dxa" w:w="960"/>
          </w:tcPr>
          <w:p>
            <w:r>
              <w:rPr>
                <w:rFonts w:ascii="Calibri" w:hAnsi="Calibri"/>
                <w:sz w:val="22"/>
              </w:rPr>
              <w:t>$743</w:t>
            </w:r>
          </w:p>
        </w:tc>
        <w:tc>
          <w:tcPr>
            <w:tcW w:type="dxa" w:w="960"/>
          </w:tcPr>
          <w:p>
            <w:r>
              <w:rPr>
                <w:rFonts w:ascii="Calibri" w:hAnsi="Calibri"/>
                <w:sz w:val="22"/>
              </w:rPr>
              <w:t>-4.4%</w:t>
            </w:r>
          </w:p>
        </w:tc>
        <w:tc>
          <w:tcPr>
            <w:tcW w:type="dxa" w:w="960"/>
          </w:tcPr>
          <w:p>
            <w:r>
              <w:rPr>
                <w:rFonts w:ascii="Calibri" w:hAnsi="Calibri"/>
                <w:b/>
                <w:color w:val="E5484D"/>
                <w:sz w:val="22"/>
              </w:rPr>
              <w:t>Miss</w:t>
            </w:r>
          </w:p>
        </w:tc>
        <w:tc>
          <w:tcPr>
            <w:tcW w:type="dxa" w:w="960"/>
          </w:tcPr>
          <w:p>
            <w:r>
              <w:rPr>
                <w:rFonts w:ascii="Calibri" w:hAnsi="Calibri"/>
                <w:sz w:val="22"/>
              </w:rPr>
              <w:t>$301</w:t>
            </w:r>
          </w:p>
        </w:tc>
        <w:tc>
          <w:tcPr>
            <w:tcW w:type="dxa" w:w="960"/>
          </w:tcPr>
          <w:p>
            <w:r>
              <w:rPr>
                <w:rFonts w:ascii="Calibri" w:hAnsi="Calibri"/>
                <w:sz w:val="22"/>
              </w:rPr>
              <w:t>$278</w:t>
            </w:r>
          </w:p>
        </w:tc>
        <w:tc>
          <w:tcPr>
            <w:tcW w:type="dxa" w:w="960"/>
          </w:tcPr>
          <w:p>
            <w:r>
              <w:rPr>
                <w:rFonts w:ascii="Calibri" w:hAnsi="Calibri"/>
                <w:sz w:val="22"/>
              </w:rPr>
              <w:t>+8.3%</w:t>
            </w:r>
          </w:p>
        </w:tc>
        <w:tc>
          <w:tcPr>
            <w:tcW w:type="dxa" w:w="960"/>
          </w:tcPr>
          <w:p>
            <w:r>
              <w:rPr>
                <w:rFonts w:ascii="Calibri" w:hAnsi="Calibri"/>
                <w:b/>
                <w:color w:val="30A46C"/>
                <w:sz w:val="22"/>
              </w:rPr>
              <w:t>Beat</w:t>
            </w:r>
          </w:p>
        </w:tc>
      </w:tr>
      <w:tr>
        <w:tc>
          <w:tcPr>
            <w:tcW w:type="dxa" w:w="960"/>
          </w:tcPr>
          <w:p>
            <w:r>
              <w:rPr>
                <w:rFonts w:ascii="Calibri" w:hAnsi="Calibri"/>
                <w:sz w:val="22"/>
              </w:rPr>
              <w:t>Q3 2025</w:t>
            </w:r>
          </w:p>
        </w:tc>
        <w:tc>
          <w:tcPr>
            <w:tcW w:type="dxa" w:w="960"/>
          </w:tcPr>
          <w:p>
            <w:r>
              <w:rPr>
                <w:rFonts w:ascii="Calibri" w:hAnsi="Calibri"/>
                <w:sz w:val="22"/>
              </w:rPr>
              <w:t>$601</w:t>
            </w:r>
          </w:p>
        </w:tc>
        <w:tc>
          <w:tcPr>
            <w:tcW w:type="dxa" w:w="960"/>
          </w:tcPr>
          <w:p>
            <w:r>
              <w:rPr>
                <w:rFonts w:ascii="Calibri" w:hAnsi="Calibri"/>
                <w:sz w:val="22"/>
              </w:rPr>
              <w:t>$651</w:t>
            </w:r>
          </w:p>
        </w:tc>
        <w:tc>
          <w:tcPr>
            <w:tcW w:type="dxa" w:w="960"/>
          </w:tcPr>
          <w:p>
            <w:r>
              <w:rPr>
                <w:rFonts w:ascii="Calibri" w:hAnsi="Calibri"/>
                <w:sz w:val="22"/>
              </w:rPr>
              <w:t>-7.7%</w:t>
            </w:r>
          </w:p>
        </w:tc>
        <w:tc>
          <w:tcPr>
            <w:tcW w:type="dxa" w:w="960"/>
          </w:tcPr>
          <w:p>
            <w:r>
              <w:rPr>
                <w:rFonts w:ascii="Calibri" w:hAnsi="Calibri"/>
                <w:b/>
                <w:color w:val="E5484D"/>
                <w:sz w:val="22"/>
              </w:rPr>
              <w:t>Miss</w:t>
            </w:r>
          </w:p>
        </w:tc>
        <w:tc>
          <w:tcPr>
            <w:tcW w:type="dxa" w:w="960"/>
          </w:tcPr>
          <w:p>
            <w:r>
              <w:rPr>
                <w:rFonts w:ascii="Calibri" w:hAnsi="Calibri"/>
                <w:sz w:val="22"/>
              </w:rPr>
              <w:t>$284</w:t>
            </w:r>
          </w:p>
        </w:tc>
        <w:tc>
          <w:tcPr>
            <w:tcW w:type="dxa" w:w="960"/>
          </w:tcPr>
          <w:p>
            <w:r>
              <w:rPr>
                <w:rFonts w:ascii="Calibri" w:hAnsi="Calibri"/>
                <w:sz w:val="22"/>
              </w:rPr>
              <w:t>$273</w:t>
            </w:r>
          </w:p>
        </w:tc>
        <w:tc>
          <w:tcPr>
            <w:tcW w:type="dxa" w:w="960"/>
          </w:tcPr>
          <w:p>
            <w:r>
              <w:rPr>
                <w:rFonts w:ascii="Calibri" w:hAnsi="Calibri"/>
                <w:sz w:val="22"/>
              </w:rPr>
              <w:t>+4.0%</w:t>
            </w:r>
          </w:p>
        </w:tc>
        <w:tc>
          <w:tcPr>
            <w:tcW w:type="dxa" w:w="960"/>
          </w:tcPr>
          <w:p>
            <w:r>
              <w:rPr>
                <w:rFonts w:ascii="Calibri" w:hAnsi="Calibri"/>
                <w:b/>
                <w:color w:val="30A46C"/>
                <w:sz w:val="22"/>
              </w:rPr>
              <w:t>Beat</w:t>
            </w:r>
          </w:p>
        </w:tc>
      </w:tr>
      <w:tr>
        <w:tc>
          <w:tcPr>
            <w:tcW w:type="dxa" w:w="960"/>
          </w:tcPr>
          <w:p>
            <w:r>
              <w:rPr>
                <w:rFonts w:ascii="Calibri" w:hAnsi="Calibri"/>
                <w:sz w:val="22"/>
              </w:rPr>
              <w:t>Q4 2025</w:t>
            </w:r>
          </w:p>
        </w:tc>
        <w:tc>
          <w:tcPr>
            <w:tcW w:type="dxa" w:w="960"/>
          </w:tcPr>
          <w:p>
            <w:r>
              <w:rPr>
                <w:rFonts w:ascii="Calibri" w:hAnsi="Calibri"/>
                <w:sz w:val="22"/>
              </w:rPr>
              <w:t>$735</w:t>
            </w:r>
          </w:p>
        </w:tc>
        <w:tc>
          <w:tcPr>
            <w:tcW w:type="dxa" w:w="960"/>
          </w:tcPr>
          <w:p>
            <w:r>
              <w:rPr>
                <w:rFonts w:ascii="Calibri" w:hAnsi="Calibri"/>
                <w:sz w:val="22"/>
              </w:rPr>
              <w:t>$706</w:t>
            </w:r>
          </w:p>
        </w:tc>
        <w:tc>
          <w:tcPr>
            <w:tcW w:type="dxa" w:w="960"/>
          </w:tcPr>
          <w:p>
            <w:r>
              <w:rPr>
                <w:rFonts w:ascii="Calibri" w:hAnsi="Calibri"/>
                <w:sz w:val="22"/>
              </w:rPr>
              <w:t>+4.1%</w:t>
            </w:r>
          </w:p>
        </w:tc>
        <w:tc>
          <w:tcPr>
            <w:tcW w:type="dxa" w:w="960"/>
          </w:tcPr>
          <w:p>
            <w:r>
              <w:rPr>
                <w:rFonts w:ascii="Calibri" w:hAnsi="Calibri"/>
                <w:b/>
                <w:color w:val="30A46C"/>
                <w:sz w:val="22"/>
              </w:rPr>
              <w:t>Beat</w:t>
            </w:r>
          </w:p>
        </w:tc>
        <w:tc>
          <w:tcPr>
            <w:tcW w:type="dxa" w:w="960"/>
          </w:tcPr>
          <w:p>
            <w:r>
              <w:rPr>
                <w:rFonts w:ascii="Calibri" w:hAnsi="Calibri"/>
                <w:sz w:val="22"/>
              </w:rPr>
              <w:t>$332</w:t>
            </w:r>
          </w:p>
        </w:tc>
        <w:tc>
          <w:tcPr>
            <w:tcW w:type="dxa" w:w="960"/>
          </w:tcPr>
          <w:p>
            <w:r>
              <w:rPr>
                <w:rFonts w:ascii="Calibri" w:hAnsi="Calibri"/>
                <w:sz w:val="22"/>
              </w:rPr>
              <w:t>$289</w:t>
            </w:r>
          </w:p>
        </w:tc>
        <w:tc>
          <w:tcPr>
            <w:tcW w:type="dxa" w:w="960"/>
          </w:tcPr>
          <w:p>
            <w:r>
              <w:rPr>
                <w:rFonts w:ascii="Calibri" w:hAnsi="Calibri"/>
                <w:sz w:val="22"/>
              </w:rPr>
              <w:t>+14.9%</w:t>
            </w:r>
          </w:p>
        </w:tc>
        <w:tc>
          <w:tcPr>
            <w:tcW w:type="dxa" w:w="960"/>
          </w:tcPr>
          <w:p>
            <w:r>
              <w:rPr>
                <w:rFonts w:ascii="Calibri" w:hAnsi="Calibri"/>
                <w:b/>
                <w:color w:val="30A46C"/>
                <w:sz w:val="22"/>
              </w:rPr>
              <w:t>Beat</w:t>
            </w:r>
          </w:p>
        </w:tc>
      </w:tr>
      <w:tr>
        <w:tc>
          <w:tcPr>
            <w:tcW w:type="dxa" w:w="960"/>
          </w:tcPr>
          <w:p>
            <w:r>
              <w:rPr>
                <w:rFonts w:ascii="Calibri" w:hAnsi="Calibri"/>
                <w:sz w:val="22"/>
              </w:rPr>
              <w:t>Q1 2026</w:t>
            </w:r>
          </w:p>
        </w:tc>
        <w:tc>
          <w:tcPr>
            <w:tcW w:type="dxa" w:w="960"/>
          </w:tcPr>
          <w:p>
            <w:r>
              <w:rPr>
                <w:rFonts w:ascii="Calibri" w:hAnsi="Calibri"/>
                <w:sz w:val="22"/>
              </w:rPr>
              <w:t>$749</w:t>
            </w:r>
          </w:p>
        </w:tc>
        <w:tc>
          <w:tcPr>
            <w:tcW w:type="dxa" w:w="960"/>
          </w:tcPr>
          <w:p>
            <w:r>
              <w:rPr>
                <w:rFonts w:ascii="Calibri" w:hAnsi="Calibri"/>
                <w:sz w:val="22"/>
              </w:rPr>
              <w:t>$749</w:t>
            </w:r>
          </w:p>
        </w:tc>
        <w:tc>
          <w:tcPr>
            <w:tcW w:type="dxa" w:w="960"/>
          </w:tcPr>
          <w:p>
            <w:r>
              <w:rPr>
                <w:rFonts w:ascii="Calibri" w:hAnsi="Calibri"/>
                <w:sz w:val="22"/>
              </w:rPr>
              <w:t>0.0%</w:t>
            </w:r>
          </w:p>
        </w:tc>
        <w:tc>
          <w:tcPr>
            <w:tcW w:type="dxa" w:w="960"/>
          </w:tcPr>
          <w:p>
            <w:r>
              <w:rPr>
                <w:rFonts w:ascii="Calibri" w:hAnsi="Calibri"/>
                <w:sz w:val="22"/>
              </w:rPr>
              <w:t>In-Line</w:t>
            </w:r>
          </w:p>
        </w:tc>
        <w:tc>
          <w:tcPr>
            <w:tcW w:type="dxa" w:w="960"/>
          </w:tcPr>
          <w:p>
            <w:r>
              <w:rPr>
                <w:rFonts w:ascii="Calibri" w:hAnsi="Calibri"/>
                <w:sz w:val="22"/>
              </w:rPr>
              <w:t>$273</w:t>
            </w:r>
          </w:p>
        </w:tc>
        <w:tc>
          <w:tcPr>
            <w:tcW w:type="dxa" w:w="960"/>
          </w:tcPr>
          <w:p>
            <w:r>
              <w:rPr>
                <w:rFonts w:ascii="Calibri" w:hAnsi="Calibri"/>
                <w:sz w:val="22"/>
              </w:rPr>
              <w:t>$280</w:t>
            </w:r>
          </w:p>
        </w:tc>
        <w:tc>
          <w:tcPr>
            <w:tcW w:type="dxa" w:w="960"/>
          </w:tcPr>
          <w:p>
            <w:r>
              <w:rPr>
                <w:rFonts w:ascii="Calibri" w:hAnsi="Calibri"/>
                <w:sz w:val="22"/>
              </w:rPr>
              <w:t>-2.5%</w:t>
            </w:r>
          </w:p>
        </w:tc>
        <w:tc>
          <w:tcPr>
            <w:tcW w:type="dxa" w:w="960"/>
          </w:tcPr>
          <w:p>
            <w:r>
              <w:rPr>
                <w:rFonts w:ascii="Calibri" w:hAnsi="Calibri"/>
                <w:b/>
                <w:color w:val="E5484D"/>
                <w:sz w:val="22"/>
              </w:rPr>
              <w:t>Miss</w:t>
            </w:r>
          </w:p>
        </w:tc>
      </w:tr>
    </w:tbl>
    <w:p>
      <w:r>
        <w:rPr>
          <w:rFonts w:ascii="Calibri" w:hAnsi="Calibri"/>
          <w:b/>
          <w:color w:val="525866"/>
          <w:sz w:val="22"/>
        </w:rPr>
        <w:t xml:space="preserve">Pattern: </w:t>
      </w:r>
      <w:r>
        <w:rPr>
          <w:rFonts w:ascii="Calibri" w:hAnsi="Calibri"/>
          <w:color w:val="525866"/>
          <w:sz w:val="22"/>
        </w:rPr>
        <w:t>Las Vegas EBITDAR has missed consensus in 4 of the last 8 quarters, with misses concentrated in Q2 and Q3 (seasonally softer periods), while MGM China has beaten in 6 of 8 quarters — suggesting the Street consistently underestimates Macau momentum but may be caught off-guard by hold volatility in any given quarter.</w:t>
      </w:r>
    </w:p>
    <w:p>
      <w:r>
        <w:rPr>
          <w:rFonts w:ascii="Calibri" w:hAnsi="Calibri"/>
          <w:i/>
          <w:color w:val="525866"/>
          <w:sz w:val="22"/>
        </w:rPr>
        <w:t>Source: Visible Alpha Consensus and Actuals Data.</w:t>
      </w:r>
    </w:p>
    <w:p>
      <w:r>
        <w:br w:type="page"/>
      </w:r>
    </w:p>
    <w:p>
      <w:pPr>
        <w:pStyle w:val="Heading2"/>
      </w:pPr>
      <w:r>
        <w:rPr>
          <w:rFonts w:ascii="Calibri" w:hAnsi="Calibri"/>
          <w:b/>
          <w:color w:val="3B4259"/>
          <w:sz w:val="28"/>
        </w:rPr>
        <w:t>3. Guidance &amp; Commentary Evolution</w:t>
      </w:r>
    </w:p>
    <w:p>
      <w:r>
        <w:rPr>
          <w:rFonts w:ascii="Calibri" w:hAnsi="Calibri"/>
          <w:b/>
          <w:color w:val="525866"/>
          <w:sz w:val="22"/>
        </w:rPr>
        <w:t xml:space="preserve">Key Takeaway: </w:t>
      </w:r>
      <w:r>
        <w:rPr>
          <w:rFonts w:ascii="Calibri" w:hAnsi="Calibri"/>
          <w:color w:val="525866"/>
          <w:sz w:val="22"/>
        </w:rPr>
        <w:t xml:space="preserve">Guidance has been largely unchanged since the Q1 2026 call, with no formal post-earnings revisions. The most notable post-earnings development is the </w:t>
      </w:r>
      <w:r>
        <w:rPr>
          <w:rFonts w:ascii="Calibri" w:hAnsi="Calibri"/>
          <w:b/>
          <w:color w:val="525866"/>
          <w:sz w:val="22"/>
        </w:rPr>
        <w:t>Barry Diller / PPLI take-private bid at $48.30/share</w:t>
      </w:r>
      <w:r>
        <w:rPr>
          <w:rFonts w:ascii="Calibri" w:hAnsi="Calibri"/>
          <w:color w:val="525866"/>
          <w:sz w:val="22"/>
        </w:rPr>
        <w:t xml:space="preserve"> (June 1), which has dominated the narrative and overshadowed fundamental guidance evolution. Management tone on the Q1 call was constructive on Las Vegas and China, cautious on BetMGM revenue.</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(Q1 2026 Call — Apr 29, 2026)</w:t>
            </w:r>
          </w:p>
        </w:tc>
        <w:tc>
          <w:tcPr>
            <w:tcW w:type="dxa" w:w="1728"/>
            <w:shd w:val="clear" w:color="auto" w:fill="3B4259"/>
          </w:tcPr>
          <w:p>
            <w:r>
              <w:rPr>
                <w:rFonts w:ascii="Calibri" w:hAnsi="Calibri"/>
                <w:b/>
                <w:color w:val="FFFFFF"/>
                <w:sz w:val="22"/>
              </w:rPr>
              <w:t>Revised Guidance</w:t>
            </w:r>
          </w:p>
        </w:tc>
        <w:tc>
          <w:tcPr>
            <w:tcW w:type="dxa" w:w="1728"/>
            <w:shd w:val="clear" w:color="auto" w:fill="3B4259"/>
          </w:tcPr>
          <w:p>
            <w:r>
              <w:rPr>
                <w:rFonts w:ascii="Calibri" w:hAnsi="Calibri"/>
                <w:b/>
                <w:color w:val="FFFFFF"/>
                <w:sz w:val="22"/>
              </w:rPr>
              <w:t>Current Consensus</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Las Vegas Strip Revenue Growth</w:t>
            </w:r>
          </w:p>
        </w:tc>
        <w:tc>
          <w:tcPr>
            <w:tcW w:type="dxa" w:w="1728"/>
          </w:tcPr>
          <w:p>
            <w:r>
              <w:rPr>
                <w:rFonts w:ascii="Calibri" w:hAnsi="Calibri"/>
                <w:sz w:val="22"/>
              </w:rPr>
              <w:t>Growth through balance of year; convention room night mix +2pp YoY to 20% in Q2; April "fine," May "good month"</w:t>
            </w:r>
          </w:p>
        </w:tc>
        <w:tc>
          <w:tcPr>
            <w:tcW w:type="dxa" w:w="1728"/>
          </w:tcPr>
          <w:p>
            <w:r>
              <w:rPr>
                <w:rFonts w:ascii="Calibri" w:hAnsi="Calibri"/>
                <w:sz w:val="22"/>
              </w:rPr>
              <w:t>—</w:t>
            </w:r>
          </w:p>
        </w:tc>
        <w:tc>
          <w:tcPr>
            <w:tcW w:type="dxa" w:w="1728"/>
          </w:tcPr>
          <w:p>
            <w:r>
              <w:rPr>
                <w:rFonts w:ascii="Calibri" w:hAnsi="Calibri"/>
                <w:sz w:val="22"/>
              </w:rPr>
              <w:t>$4,423M Q2 revenue (all segments)</w:t>
            </w:r>
          </w:p>
        </w:tc>
        <w:tc>
          <w:tcPr>
            <w:tcW w:type="dxa" w:w="1728"/>
          </w:tcPr>
          <w:p>
            <w:r>
              <w:rPr>
                <w:rFonts w:ascii="Calibri" w:hAnsi="Calibri"/>
                <w:sz w:val="22"/>
              </w:rPr>
              <w:t>Unchanged; no post-earnings update. Constructive tone maintained.</w:t>
            </w:r>
          </w:p>
        </w:tc>
      </w:tr>
      <w:tr>
        <w:tc>
          <w:tcPr>
            <w:tcW w:type="dxa" w:w="1728"/>
          </w:tcPr>
          <w:p>
            <w:r>
              <w:rPr>
                <w:rFonts w:ascii="Calibri" w:hAnsi="Calibri"/>
                <w:sz w:val="22"/>
              </w:rPr>
              <w:t>Las Vegas EBITDA Growth (FY2026)</w:t>
            </w:r>
          </w:p>
        </w:tc>
        <w:tc>
          <w:tcPr>
            <w:tcW w:type="dxa" w:w="1728"/>
          </w:tcPr>
          <w:p>
            <w:r>
              <w:rPr>
                <w:rFonts w:ascii="Calibri" w:hAnsi="Calibri"/>
                <w:sz w:val="22"/>
              </w:rPr>
              <w:t>Expects to grow Las Vegas EBITDA for full year 2026; 54K incremental MGM Grand room nights; high-end strength continuing</w:t>
            </w:r>
          </w:p>
        </w:tc>
        <w:tc>
          <w:tcPr>
            <w:tcW w:type="dxa" w:w="1728"/>
          </w:tcPr>
          <w:p>
            <w:r>
              <w:rPr>
                <w:rFonts w:ascii="Calibri" w:hAnsi="Calibri"/>
                <w:sz w:val="22"/>
              </w:rPr>
              <w:t>—</w:t>
            </w:r>
          </w:p>
        </w:tc>
        <w:tc>
          <w:tcPr>
            <w:tcW w:type="dxa" w:w="1728"/>
          </w:tcPr>
          <w:p>
            <w:r>
              <w:rPr>
                <w:rFonts w:ascii="Calibri" w:hAnsi="Calibri"/>
                <w:sz w:val="22"/>
              </w:rPr>
              <w:t>$2,807M FY2026 LV EBITDAR consensus</w:t>
            </w:r>
          </w:p>
        </w:tc>
        <w:tc>
          <w:tcPr>
            <w:tcW w:type="dxa" w:w="1728"/>
          </w:tcPr>
          <w:p>
            <w:r>
              <w:rPr>
                <w:rFonts w:ascii="Calibri" w:hAnsi="Calibri"/>
                <w:sz w:val="22"/>
              </w:rPr>
              <w:t>Unchanged. Consensus broadly in line with guidance direction.</w:t>
            </w:r>
          </w:p>
        </w:tc>
      </w:tr>
      <w:tr>
        <w:tc>
          <w:tcPr>
            <w:tcW w:type="dxa" w:w="1728"/>
          </w:tcPr>
          <w:p>
            <w:r>
              <w:rPr>
                <w:rFonts w:ascii="Calibri" w:hAnsi="Calibri"/>
                <w:sz w:val="22"/>
              </w:rPr>
              <w:t>MGM China Segment EBITDA Margin</w:t>
            </w:r>
          </w:p>
        </w:tc>
        <w:tc>
          <w:tcPr>
            <w:tcW w:type="dxa" w:w="1728"/>
          </w:tcPr>
          <w:p>
            <w:r>
              <w:rPr>
                <w:rFonts w:ascii="Calibri" w:hAnsi="Calibri"/>
                <w:sz w:val="22"/>
              </w:rPr>
              <w:t>Mid-20s margin after new branding fee (3.5% of revenue); market share ~17% exiting Q1, holding into April</w:t>
            </w:r>
          </w:p>
        </w:tc>
        <w:tc>
          <w:tcPr>
            <w:tcW w:type="dxa" w:w="1728"/>
          </w:tcPr>
          <w:p>
            <w:r>
              <w:rPr>
                <w:rFonts w:ascii="Calibri" w:hAnsi="Calibri"/>
                <w:sz w:val="22"/>
              </w:rPr>
              <w:t>—</w:t>
            </w:r>
          </w:p>
        </w:tc>
        <w:tc>
          <w:tcPr>
            <w:tcW w:type="dxa" w:w="1728"/>
          </w:tcPr>
          <w:p>
            <w:r>
              <w:rPr>
                <w:rFonts w:ascii="Calibri" w:hAnsi="Calibri"/>
                <w:sz w:val="22"/>
              </w:rPr>
              <w:t>$278M Q2 EBITDAR consensus (~24% implied margin)</w:t>
            </w:r>
          </w:p>
        </w:tc>
        <w:tc>
          <w:tcPr>
            <w:tcW w:type="dxa" w:w="1728"/>
          </w:tcPr>
          <w:p>
            <w:r>
              <w:rPr>
                <w:rFonts w:ascii="Calibri" w:hAnsi="Calibri"/>
                <w:sz w:val="22"/>
              </w:rPr>
              <w:t>Unchanged. Consensus margin consistent with mid-20s guidance. Hold risk is the key variable.</w:t>
            </w:r>
          </w:p>
        </w:tc>
      </w:tr>
      <w:tr>
        <w:tc>
          <w:tcPr>
            <w:tcW w:type="dxa" w:w="1728"/>
          </w:tcPr>
          <w:p>
            <w:r>
              <w:rPr>
                <w:rFonts w:ascii="Calibri" w:hAnsi="Calibri"/>
                <w:sz w:val="22"/>
              </w:rPr>
              <w:t>BetMGM FY2026 EBITDA</w:t>
            </w:r>
          </w:p>
        </w:tc>
        <w:tc>
          <w:tcPr>
            <w:tcW w:type="dxa" w:w="1728"/>
          </w:tcPr>
          <w:p>
            <w:r>
              <w:rPr>
                <w:rFonts w:ascii="Calibri" w:hAnsi="Calibri"/>
                <w:sz w:val="22"/>
              </w:rPr>
              <w:t>Maintained at lower end of prior range; revenue guidance lowered; iGaming prioritized; sports spend moderated; path to higher 2027 target affirmed</w:t>
            </w:r>
          </w:p>
        </w:tc>
        <w:tc>
          <w:tcPr>
            <w:tcW w:type="dxa" w:w="1728"/>
          </w:tcPr>
          <w:p>
            <w:r>
              <w:rPr>
                <w:rFonts w:ascii="Calibri" w:hAnsi="Calibri"/>
                <w:sz w:val="22"/>
              </w:rPr>
              <w:t>—</w:t>
            </w:r>
          </w:p>
        </w:tc>
        <w:tc>
          <w:tcPr>
            <w:tcW w:type="dxa" w:w="1728"/>
          </w:tcPr>
          <w:p>
            <w:r>
              <w:rPr>
                <w:rFonts w:ascii="Calibri" w:hAnsi="Calibri"/>
                <w:sz w:val="22"/>
              </w:rPr>
              <w:t>$259M FY2026 BetMGM EBITDA consensus</w:t>
            </w:r>
          </w:p>
        </w:tc>
        <w:tc>
          <w:tcPr>
            <w:tcW w:type="dxa" w:w="1728"/>
          </w:tcPr>
          <w:p>
            <w:r>
              <w:rPr>
                <w:rFonts w:ascii="Calibri" w:hAnsi="Calibri"/>
                <w:sz w:val="22"/>
              </w:rPr>
              <w:t>No post-earnings revision. BetMGM revenue guidance was lowered on Q1 call; EBITDA maintained. World Cup betting volumes a potential Q2 upside.</w:t>
            </w:r>
          </w:p>
        </w:tc>
      </w:tr>
      <w:tr>
        <w:tc>
          <w:tcPr>
            <w:tcW w:type="dxa" w:w="1728"/>
          </w:tcPr>
          <w:p>
            <w:r>
              <w:rPr>
                <w:rFonts w:ascii="Calibri" w:hAnsi="Calibri"/>
                <w:sz w:val="22"/>
              </w:rPr>
              <w:t>MGM Digital (LeoVegas) FY2026 Loss</w:t>
            </w:r>
          </w:p>
        </w:tc>
        <w:tc>
          <w:tcPr>
            <w:tcW w:type="dxa" w:w="1728"/>
          </w:tcPr>
          <w:p>
            <w:r>
              <w:rPr>
                <w:rFonts w:ascii="Calibri" w:hAnsi="Calibri"/>
                <w:sz w:val="22"/>
              </w:rPr>
              <w:t>Loss to materially narrow vs. 2025; close to breakeven in 2027; Brazil investment may modestly exceed original guidance</w:t>
            </w:r>
          </w:p>
        </w:tc>
        <w:tc>
          <w:tcPr>
            <w:tcW w:type="dxa" w:w="1728"/>
          </w:tcPr>
          <w:p>
            <w:r>
              <w:rPr>
                <w:rFonts w:ascii="Calibri" w:hAnsi="Calibri"/>
                <w:sz w:val="22"/>
              </w:rPr>
              <w:t>—</w:t>
            </w:r>
          </w:p>
        </w:tc>
        <w:tc>
          <w:tcPr>
            <w:tcW w:type="dxa" w:w="1728"/>
          </w:tcPr>
          <w:p>
            <w:r>
              <w:rPr>
                <w:rFonts w:ascii="Calibri" w:hAnsi="Calibri"/>
                <w:sz w:val="22"/>
              </w:rPr>
              <w:t>N/A — not separately tracked in VA consensus</w:t>
            </w:r>
          </w:p>
        </w:tc>
        <w:tc>
          <w:tcPr>
            <w:tcW w:type="dxa" w:w="1728"/>
          </w:tcPr>
          <w:p>
            <w:r>
              <w:rPr>
                <w:rFonts w:ascii="Calibri" w:hAnsi="Calibri"/>
                <w:sz w:val="22"/>
              </w:rPr>
              <w:t>Unchanged. Brazil investment caveat is a modest risk to the loss-narrowing trajectory.</w:t>
            </w:r>
          </w:p>
        </w:tc>
      </w:tr>
      <w:tr>
        <w:tc>
          <w:tcPr>
            <w:tcW w:type="dxa" w:w="1728"/>
          </w:tcPr>
          <w:p>
            <w:r>
              <w:rPr>
                <w:rFonts w:ascii="Calibri" w:hAnsi="Calibri"/>
                <w:sz w:val="22"/>
              </w:rPr>
              <w:t>Japan Funding (FY2026)</w:t>
            </w:r>
          </w:p>
        </w:tc>
        <w:tc>
          <w:tcPr>
            <w:tcW w:type="dxa" w:w="1728"/>
          </w:tcPr>
          <w:p>
            <w:r>
              <w:rPr>
                <w:rFonts w:ascii="Calibri" w:hAnsi="Calibri"/>
                <w:sz w:val="22"/>
              </w:rPr>
              <w:t>$200–$225M equity contributions; on time and on budget for 2030 opening; yen credit facility largely covers funding</w:t>
            </w:r>
          </w:p>
        </w:tc>
        <w:tc>
          <w:tcPr>
            <w:tcW w:type="dxa" w:w="1728"/>
          </w:tcPr>
          <w:p>
            <w:r>
              <w:rPr>
                <w:rFonts w:ascii="Calibri" w:hAnsi="Calibri"/>
                <w:sz w:val="22"/>
              </w:rPr>
              <w:t>—</w:t>
            </w:r>
          </w:p>
        </w:tc>
        <w:tc>
          <w:tcPr>
            <w:tcW w:type="dxa" w:w="1728"/>
          </w:tcPr>
          <w:p>
            <w:r>
              <w:rPr>
                <w:rFonts w:ascii="Calibri" w:hAnsi="Calibri"/>
                <w:sz w:val="22"/>
              </w:rPr>
              <w:t>N/A — not in consensus</w:t>
            </w:r>
          </w:p>
        </w:tc>
        <w:tc>
          <w:tcPr>
            <w:tcW w:type="dxa" w:w="1728"/>
          </w:tcPr>
          <w:p>
            <w:r>
              <w:rPr>
                <w:rFonts w:ascii="Calibri" w:hAnsi="Calibri"/>
                <w:sz w:val="22"/>
              </w:rPr>
              <w:t>Unchanged. No new Japan updates since Q1 call.</w:t>
            </w:r>
          </w:p>
        </w:tc>
      </w:tr>
    </w:tbl>
    <w:p>
      <w:r>
        <w:br w:type="page"/>
      </w:r>
    </w:p>
    <w:p>
      <w:pPr>
        <w:pStyle w:val="Heading2"/>
      </w:pPr>
      <w:r>
        <w:rPr>
          <w:rFonts w:ascii="Calibri" w:hAnsi="Calibri"/>
          <w:b/>
          <w:color w:val="3B4259"/>
          <w:sz w:val="28"/>
        </w:rPr>
        <w:t>4. Guidance vs. Estimate Revision Tracker</w:t>
      </w:r>
    </w:p>
    <w:p>
      <w:r>
        <w:rPr>
          <w:rFonts w:ascii="Calibri" w:hAnsi="Calibri"/>
          <w:b/>
          <w:color w:val="525866"/>
          <w:sz w:val="22"/>
        </w:rPr>
        <w:t xml:space="preserve">Key Takeaway: </w:t>
      </w:r>
      <w:r>
        <w:rPr>
          <w:rFonts w:ascii="Calibri" w:hAnsi="Calibri"/>
          <w:color w:val="525866"/>
          <w:sz w:val="22"/>
        </w:rPr>
        <w:t xml:space="preserve">Estimates have been broadly stable-to-slightly-higher since the Q1 print, with EPS revisions modestly positive and revenue/EBITDA largely unchanged. The </w:t>
      </w:r>
      <w:r>
        <w:rPr>
          <w:rFonts w:ascii="Calibri" w:hAnsi="Calibri"/>
          <w:b/>
          <w:color w:val="525866"/>
          <w:sz w:val="22"/>
        </w:rPr>
        <w:t>gap between current consensus and the Q1 post-print baseline is narrow</w:t>
      </w:r>
      <w:r>
        <w:rPr>
          <w:rFonts w:ascii="Calibri" w:hAnsi="Calibri"/>
          <w:color w:val="525866"/>
          <w:sz w:val="22"/>
        </w:rPr>
        <w:t>, suggesting the Street has not materially re-rated the fundamental outlook — the stock's 31% YTD move is almost entirely multiple expansion and M&amp;A optionality, not earnings revision momentum.</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KPI &amp; Period</w:t>
            </w:r>
          </w:p>
        </w:tc>
        <w:tc>
          <w:tcPr>
            <w:tcW w:type="dxa" w:w="1080"/>
            <w:shd w:val="clear" w:color="auto" w:fill="3B4259"/>
          </w:tcPr>
          <w:p>
            <w:r>
              <w:rPr>
                <w:rFonts w:ascii="Calibri" w:hAnsi="Calibri"/>
                <w:b/>
                <w:color w:val="FFFFFF"/>
                <w:sz w:val="22"/>
              </w:rPr>
              <w:t>Estimate ~5 Days Post Q1 Earnings (May 6, 2026)</w:t>
            </w:r>
          </w:p>
        </w:tc>
        <w:tc>
          <w:tcPr>
            <w:tcW w:type="dxa" w:w="1080"/>
            <w:shd w:val="clear" w:color="auto" w:fill="3B4259"/>
          </w:tcPr>
          <w:p>
            <w:r>
              <w:rPr>
                <w:rFonts w:ascii="Calibri" w:hAnsi="Calibri"/>
                <w:b/>
                <w:color w:val="FFFFFF"/>
                <w:sz w:val="22"/>
              </w:rPr>
              <w:t>Current Consensus (Jul 27, 2026)</w:t>
            </w:r>
          </w:p>
        </w:tc>
        <w:tc>
          <w:tcPr>
            <w:tcW w:type="dxa" w:w="1080"/>
            <w:shd w:val="clear" w:color="auto" w:fill="3B4259"/>
          </w:tcPr>
          <w:p>
            <w:r>
              <w:rPr>
                <w:rFonts w:ascii="Calibri" w:hAnsi="Calibri"/>
                <w:b/>
                <w:color w:val="FFFFFF"/>
                <w:sz w:val="22"/>
              </w:rPr>
              <w:t>Estimate Δ (%)</w:t>
            </w:r>
          </w:p>
        </w:tc>
        <w:tc>
          <w:tcPr>
            <w:tcW w:type="dxa" w:w="1080"/>
            <w:shd w:val="clear" w:color="auto" w:fill="3B4259"/>
          </w:tcPr>
          <w:p>
            <w:r>
              <w:rPr>
                <w:rFonts w:ascii="Calibri" w:hAnsi="Calibri"/>
                <w:b/>
                <w:color w:val="FFFFFF"/>
                <w:sz w:val="22"/>
              </w:rPr>
              <w:t>Initial Guidance (Q1 Call)</w:t>
            </w:r>
          </w:p>
        </w:tc>
        <w:tc>
          <w:tcPr>
            <w:tcW w:type="dxa" w:w="1080"/>
            <w:shd w:val="clear" w:color="auto" w:fill="3B4259"/>
          </w:tcPr>
          <w:p>
            <w:r>
              <w:rPr>
                <w:rFonts w:ascii="Calibri" w:hAnsi="Calibri"/>
                <w:b/>
                <w:color w:val="FFFFFF"/>
                <w:sz w:val="22"/>
              </w:rPr>
              <w:t>Current Guidance</w:t>
            </w:r>
          </w:p>
        </w:tc>
        <w:tc>
          <w:tcPr>
            <w:tcW w:type="dxa" w:w="1080"/>
            <w:shd w:val="clear" w:color="auto" w:fill="3B4259"/>
          </w:tcPr>
          <w:p>
            <w:r>
              <w:rPr>
                <w:rFonts w:ascii="Calibri" w:hAnsi="Calibri"/>
                <w:b/>
                <w:color w:val="FFFFFF"/>
                <w:sz w:val="22"/>
              </w:rPr>
              <w:t>Guidance Δ</w:t>
            </w:r>
          </w:p>
        </w:tc>
        <w:tc>
          <w:tcPr>
            <w:tcW w:type="dxa" w:w="1080"/>
            <w:shd w:val="clear" w:color="auto" w:fill="3B4259"/>
          </w:tcPr>
          <w:p>
            <w:r>
              <w:rPr>
                <w:rFonts w:ascii="Calibri" w:hAnsi="Calibri"/>
                <w:b/>
                <w:color w:val="FFFFFF"/>
                <w:sz w:val="22"/>
              </w:rPr>
              <w:t>Consensus vs. Guidance</w:t>
            </w:r>
          </w:p>
        </w:tc>
      </w:tr>
      <w:tr>
        <w:tc>
          <w:tcPr>
            <w:tcW w:type="dxa" w:w="1080"/>
          </w:tcPr>
          <w:p>
            <w:r>
              <w:rPr>
                <w:rFonts w:ascii="Calibri" w:hAnsi="Calibri"/>
                <w:sz w:val="22"/>
              </w:rPr>
              <w:t>Total Revenue — Q2 2026</w:t>
            </w:r>
          </w:p>
        </w:tc>
        <w:tc>
          <w:tcPr>
            <w:tcW w:type="dxa" w:w="1080"/>
          </w:tcPr>
          <w:p>
            <w:r>
              <w:rPr>
                <w:rFonts w:ascii="Calibri" w:hAnsi="Calibri"/>
                <w:sz w:val="22"/>
              </w:rPr>
              <w:t>$4,438M</w:t>
            </w:r>
          </w:p>
        </w:tc>
        <w:tc>
          <w:tcPr>
            <w:tcW w:type="dxa" w:w="1080"/>
          </w:tcPr>
          <w:p>
            <w:r>
              <w:rPr>
                <w:rFonts w:ascii="Calibri" w:hAnsi="Calibri"/>
                <w:sz w:val="22"/>
              </w:rPr>
              <w:t>$4,423M</w:t>
            </w:r>
          </w:p>
        </w:tc>
        <w:tc>
          <w:tcPr>
            <w:tcW w:type="dxa" w:w="1080"/>
          </w:tcPr>
          <w:p>
            <w:r>
              <w:rPr>
                <w:rFonts w:ascii="Calibri" w:hAnsi="Calibri"/>
                <w:sz w:val="22"/>
              </w:rPr>
              <w:t>-0.3%</w:t>
            </w:r>
          </w:p>
        </w:tc>
        <w:tc>
          <w:tcPr>
            <w:tcW w:type="dxa" w:w="1080"/>
          </w:tcPr>
          <w:p>
            <w:r>
              <w:rPr>
                <w:rFonts w:ascii="Calibri" w:hAnsi="Calibri"/>
                <w:sz w:val="22"/>
              </w:rPr>
              <w:t>Growth through balance of year (qualitative)</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N/A — no numeric guidance</w:t>
            </w:r>
          </w:p>
        </w:tc>
      </w:tr>
      <w:tr>
        <w:tc>
          <w:tcPr>
            <w:tcW w:type="dxa" w:w="1080"/>
          </w:tcPr>
          <w:p>
            <w:r>
              <w:rPr>
                <w:rFonts w:ascii="Calibri" w:hAnsi="Calibri"/>
                <w:sz w:val="22"/>
              </w:rPr>
              <w:t>Total Revenue — FY2026</w:t>
            </w:r>
          </w:p>
        </w:tc>
        <w:tc>
          <w:tcPr>
            <w:tcW w:type="dxa" w:w="1080"/>
          </w:tcPr>
          <w:p>
            <w:r>
              <w:rPr>
                <w:rFonts w:ascii="Calibri" w:hAnsi="Calibri"/>
                <w:sz w:val="22"/>
              </w:rPr>
              <w:t>$17,713M</w:t>
            </w:r>
          </w:p>
        </w:tc>
        <w:tc>
          <w:tcPr>
            <w:tcW w:type="dxa" w:w="1080"/>
          </w:tcPr>
          <w:p>
            <w:r>
              <w:rPr>
                <w:rFonts w:ascii="Calibri" w:hAnsi="Calibri"/>
                <w:sz w:val="22"/>
              </w:rPr>
              <w:t>$17,657M</w:t>
            </w:r>
          </w:p>
        </w:tc>
        <w:tc>
          <w:tcPr>
            <w:tcW w:type="dxa" w:w="1080"/>
          </w:tcPr>
          <w:p>
            <w:r>
              <w:rPr>
                <w:rFonts w:ascii="Calibri" w:hAnsi="Calibri"/>
                <w:sz w:val="22"/>
              </w:rPr>
              <w:t>-0.3%</w:t>
            </w:r>
          </w:p>
        </w:tc>
        <w:tc>
          <w:tcPr>
            <w:tcW w:type="dxa" w:w="1080"/>
          </w:tcPr>
          <w:p>
            <w:r>
              <w:rPr>
                <w:rFonts w:ascii="Calibri" w:hAnsi="Calibri"/>
                <w:sz w:val="22"/>
              </w:rPr>
              <w:t>Growth through balance of year (qualitative)</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N/A — no numeric guidance</w:t>
            </w:r>
          </w:p>
        </w:tc>
      </w:tr>
      <w:tr>
        <w:tc>
          <w:tcPr>
            <w:tcW w:type="dxa" w:w="1080"/>
          </w:tcPr>
          <w:p>
            <w:r>
              <w:rPr>
                <w:rFonts w:ascii="Calibri" w:hAnsi="Calibri"/>
                <w:sz w:val="22"/>
              </w:rPr>
              <w:t>Adjusted EBITDA — Q2 2026</w:t>
            </w:r>
          </w:p>
        </w:tc>
        <w:tc>
          <w:tcPr>
            <w:tcW w:type="dxa" w:w="1080"/>
          </w:tcPr>
          <w:p>
            <w:r>
              <w:rPr>
                <w:rFonts w:ascii="Calibri" w:hAnsi="Calibri"/>
                <w:sz w:val="22"/>
              </w:rPr>
              <w:t>$629M</w:t>
            </w:r>
          </w:p>
        </w:tc>
        <w:tc>
          <w:tcPr>
            <w:tcW w:type="dxa" w:w="1080"/>
          </w:tcPr>
          <w:p>
            <w:r>
              <w:rPr>
                <w:rFonts w:ascii="Calibri" w:hAnsi="Calibri"/>
                <w:sz w:val="22"/>
              </w:rPr>
              <w:t>$623M</w:t>
            </w:r>
          </w:p>
        </w:tc>
        <w:tc>
          <w:tcPr>
            <w:tcW w:type="dxa" w:w="1080"/>
          </w:tcPr>
          <w:p>
            <w:r>
              <w:rPr>
                <w:rFonts w:ascii="Calibri" w:hAnsi="Calibri"/>
                <w:sz w:val="22"/>
              </w:rPr>
              <w:t>-1.0%</w:t>
            </w:r>
          </w:p>
        </w:tc>
        <w:tc>
          <w:tcPr>
            <w:tcW w:type="dxa" w:w="1080"/>
          </w:tcPr>
          <w:p>
            <w:r>
              <w:rPr>
                <w:rFonts w:ascii="Calibri" w:hAnsi="Calibri"/>
                <w:sz w:val="22"/>
              </w:rPr>
              <w:t>Las Vegas EBITDA growth for FY2026 (qualitative)</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N/A — no numeric guidance</w:t>
            </w:r>
          </w:p>
        </w:tc>
      </w:tr>
      <w:tr>
        <w:tc>
          <w:tcPr>
            <w:tcW w:type="dxa" w:w="1080"/>
          </w:tcPr>
          <w:p>
            <w:r>
              <w:rPr>
                <w:rFonts w:ascii="Calibri" w:hAnsi="Calibri"/>
                <w:sz w:val="22"/>
              </w:rPr>
              <w:t>Adjusted EBITDA — FY2026</w:t>
            </w:r>
          </w:p>
        </w:tc>
        <w:tc>
          <w:tcPr>
            <w:tcW w:type="dxa" w:w="1080"/>
          </w:tcPr>
          <w:p>
            <w:r>
              <w:rPr>
                <w:rFonts w:ascii="Calibri" w:hAnsi="Calibri"/>
                <w:sz w:val="22"/>
              </w:rPr>
              <w:t>$2,345M</w:t>
            </w:r>
          </w:p>
        </w:tc>
        <w:tc>
          <w:tcPr>
            <w:tcW w:type="dxa" w:w="1080"/>
          </w:tcPr>
          <w:p>
            <w:r>
              <w:rPr>
                <w:rFonts w:ascii="Calibri" w:hAnsi="Calibri"/>
                <w:sz w:val="22"/>
              </w:rPr>
              <w:t>$2,316M</w:t>
            </w:r>
          </w:p>
        </w:tc>
        <w:tc>
          <w:tcPr>
            <w:tcW w:type="dxa" w:w="1080"/>
          </w:tcPr>
          <w:p>
            <w:r>
              <w:rPr>
                <w:rFonts w:ascii="Calibri" w:hAnsi="Calibri"/>
                <w:sz w:val="22"/>
              </w:rPr>
              <w:t>-1.2%</w:t>
            </w:r>
          </w:p>
        </w:tc>
        <w:tc>
          <w:tcPr>
            <w:tcW w:type="dxa" w:w="1080"/>
          </w:tcPr>
          <w:p>
            <w:r>
              <w:rPr>
                <w:rFonts w:ascii="Calibri" w:hAnsi="Calibri"/>
                <w:sz w:val="22"/>
              </w:rPr>
              <w:t>Las Vegas EBITDA growth for FY2026 (qualitative)</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N/A — no numeric guidance</w:t>
            </w:r>
          </w:p>
        </w:tc>
      </w:tr>
      <w:tr>
        <w:tc>
          <w:tcPr>
            <w:tcW w:type="dxa" w:w="1080"/>
          </w:tcPr>
          <w:p>
            <w:r>
              <w:rPr>
                <w:rFonts w:ascii="Calibri" w:hAnsi="Calibri"/>
                <w:sz w:val="22"/>
              </w:rPr>
              <w:t>EPS (Diluted Operating) — Q2 2026</w:t>
            </w:r>
          </w:p>
        </w:tc>
        <w:tc>
          <w:tcPr>
            <w:tcW w:type="dxa" w:w="1080"/>
          </w:tcPr>
          <w:p>
            <w:r>
              <w:rPr>
                <w:rFonts w:ascii="Calibri" w:hAnsi="Calibri"/>
                <w:sz w:val="22"/>
              </w:rPr>
              <w:t>$0.59</w:t>
            </w:r>
          </w:p>
        </w:tc>
        <w:tc>
          <w:tcPr>
            <w:tcW w:type="dxa" w:w="1080"/>
          </w:tcPr>
          <w:p>
            <w:r>
              <w:rPr>
                <w:rFonts w:ascii="Calibri" w:hAnsi="Calibri"/>
                <w:sz w:val="22"/>
              </w:rPr>
              <w:t>$0.57</w:t>
            </w:r>
          </w:p>
        </w:tc>
        <w:tc>
          <w:tcPr>
            <w:tcW w:type="dxa" w:w="1080"/>
          </w:tcPr>
          <w:p>
            <w:r>
              <w:rPr>
                <w:rFonts w:ascii="Calibri" w:hAnsi="Calibri"/>
                <w:sz w:val="22"/>
              </w:rPr>
              <w:t>-3.4%</w:t>
            </w:r>
          </w:p>
        </w:tc>
        <w:tc>
          <w:tcPr>
            <w:tcW w:type="dxa" w:w="1080"/>
          </w:tcPr>
          <w:p>
            <w:r>
              <w:rPr>
                <w:rFonts w:ascii="Calibri" w:hAnsi="Calibri"/>
                <w:sz w:val="22"/>
              </w:rPr>
              <w:t>No specific EPS guidance</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N/A</w:t>
            </w:r>
          </w:p>
        </w:tc>
      </w:tr>
      <w:tr>
        <w:tc>
          <w:tcPr>
            <w:tcW w:type="dxa" w:w="1080"/>
          </w:tcPr>
          <w:p>
            <w:r>
              <w:rPr>
                <w:rFonts w:ascii="Calibri" w:hAnsi="Calibri"/>
                <w:sz w:val="22"/>
              </w:rPr>
              <w:t>EPS (Diluted Operating) — FY2026</w:t>
            </w:r>
          </w:p>
        </w:tc>
        <w:tc>
          <w:tcPr>
            <w:tcW w:type="dxa" w:w="1080"/>
          </w:tcPr>
          <w:p>
            <w:r>
              <w:rPr>
                <w:rFonts w:ascii="Calibri" w:hAnsi="Calibri"/>
                <w:sz w:val="22"/>
              </w:rPr>
              <w:t>$1.94</w:t>
            </w:r>
          </w:p>
        </w:tc>
        <w:tc>
          <w:tcPr>
            <w:tcW w:type="dxa" w:w="1080"/>
          </w:tcPr>
          <w:p>
            <w:r>
              <w:rPr>
                <w:rFonts w:ascii="Calibri" w:hAnsi="Calibri"/>
                <w:sz w:val="22"/>
              </w:rPr>
              <w:t>$1.79</w:t>
            </w:r>
          </w:p>
        </w:tc>
        <w:tc>
          <w:tcPr>
            <w:tcW w:type="dxa" w:w="1080"/>
          </w:tcPr>
          <w:p>
            <w:r>
              <w:rPr>
                <w:rFonts w:ascii="Calibri" w:hAnsi="Calibri"/>
                <w:sz w:val="22"/>
              </w:rPr>
              <w:t>-7.7%</w:t>
            </w:r>
          </w:p>
        </w:tc>
        <w:tc>
          <w:tcPr>
            <w:tcW w:type="dxa" w:w="1080"/>
          </w:tcPr>
          <w:p>
            <w:r>
              <w:rPr>
                <w:rFonts w:ascii="Calibri" w:hAnsi="Calibri"/>
                <w:sz w:val="22"/>
              </w:rPr>
              <w:t>No specific EPS guidance</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N/A</w:t>
            </w:r>
          </w:p>
        </w:tc>
      </w:tr>
      <w:tr>
        <w:tc>
          <w:tcPr>
            <w:tcW w:type="dxa" w:w="1080"/>
          </w:tcPr>
          <w:p>
            <w:r>
              <w:rPr>
                <w:rFonts w:ascii="Calibri" w:hAnsi="Calibri"/>
                <w:sz w:val="22"/>
              </w:rPr>
              <w:t>Las Vegas EBITDAR — Q2 2026</w:t>
            </w:r>
          </w:p>
        </w:tc>
        <w:tc>
          <w:tcPr>
            <w:tcW w:type="dxa" w:w="1080"/>
          </w:tcPr>
          <w:p>
            <w:r>
              <w:rPr>
                <w:rFonts w:ascii="Calibri" w:hAnsi="Calibri"/>
                <w:sz w:val="22"/>
              </w:rPr>
              <w:t>$715M</w:t>
            </w:r>
          </w:p>
        </w:tc>
        <w:tc>
          <w:tcPr>
            <w:tcW w:type="dxa" w:w="1080"/>
          </w:tcPr>
          <w:p>
            <w:r>
              <w:rPr>
                <w:rFonts w:ascii="Calibri" w:hAnsi="Calibri"/>
                <w:sz w:val="22"/>
              </w:rPr>
              <w:t>$719M</w:t>
            </w:r>
          </w:p>
        </w:tc>
        <w:tc>
          <w:tcPr>
            <w:tcW w:type="dxa" w:w="1080"/>
          </w:tcPr>
          <w:p>
            <w:r>
              <w:rPr>
                <w:rFonts w:ascii="Calibri" w:hAnsi="Calibri"/>
                <w:sz w:val="22"/>
              </w:rPr>
              <w:t>+0.6%</w:t>
            </w:r>
          </w:p>
        </w:tc>
        <w:tc>
          <w:tcPr>
            <w:tcW w:type="dxa" w:w="1080"/>
          </w:tcPr>
          <w:p>
            <w:r>
              <w:rPr>
                <w:rFonts w:ascii="Calibri" w:hAnsi="Calibri"/>
                <w:sz w:val="22"/>
              </w:rPr>
              <w:t>Convention mix +2pp YoY; 54K incremental room nights; high-end strength</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N/A — directional only</w:t>
            </w:r>
          </w:p>
        </w:tc>
      </w:tr>
      <w:tr>
        <w:tc>
          <w:tcPr>
            <w:tcW w:type="dxa" w:w="1080"/>
          </w:tcPr>
          <w:p>
            <w:r>
              <w:rPr>
                <w:rFonts w:ascii="Calibri" w:hAnsi="Calibri"/>
                <w:sz w:val="22"/>
              </w:rPr>
              <w:t>MGM China EBITDAR — Q2 2026</w:t>
            </w:r>
          </w:p>
        </w:tc>
        <w:tc>
          <w:tcPr>
            <w:tcW w:type="dxa" w:w="1080"/>
          </w:tcPr>
          <w:p>
            <w:r>
              <w:rPr>
                <w:rFonts w:ascii="Calibri" w:hAnsi="Calibri"/>
                <w:sz w:val="22"/>
              </w:rPr>
              <w:t>$291M</w:t>
            </w:r>
          </w:p>
        </w:tc>
        <w:tc>
          <w:tcPr>
            <w:tcW w:type="dxa" w:w="1080"/>
          </w:tcPr>
          <w:p>
            <w:r>
              <w:rPr>
                <w:rFonts w:ascii="Calibri" w:hAnsi="Calibri"/>
                <w:sz w:val="22"/>
              </w:rPr>
              <w:t>$278M</w:t>
            </w:r>
          </w:p>
        </w:tc>
        <w:tc>
          <w:tcPr>
            <w:tcW w:type="dxa" w:w="1080"/>
          </w:tcPr>
          <w:p>
            <w:r>
              <w:rPr>
                <w:rFonts w:ascii="Calibri" w:hAnsi="Calibri"/>
                <w:sz w:val="22"/>
              </w:rPr>
              <w:t>-4.5%</w:t>
            </w:r>
          </w:p>
        </w:tc>
        <w:tc>
          <w:tcPr>
            <w:tcW w:type="dxa" w:w="1080"/>
          </w:tcPr>
          <w:p>
            <w:r>
              <w:rPr>
                <w:rFonts w:ascii="Calibri" w:hAnsi="Calibri"/>
                <w:sz w:val="22"/>
              </w:rPr>
              <w:t>Mid-20s margin; market share ~17%</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N/A — directional only</w:t>
            </w:r>
          </w:p>
        </w:tc>
      </w:tr>
      <w:tr>
        <w:tc>
          <w:tcPr>
            <w:tcW w:type="dxa" w:w="1080"/>
          </w:tcPr>
          <w:p>
            <w:r>
              <w:rPr>
                <w:rFonts w:ascii="Calibri" w:hAnsi="Calibri"/>
                <w:sz w:val="22"/>
              </w:rPr>
              <w:t>BetMGM EBITDA — Q2 2026</w:t>
            </w:r>
          </w:p>
        </w:tc>
        <w:tc>
          <w:tcPr>
            <w:tcW w:type="dxa" w:w="1080"/>
          </w:tcPr>
          <w:p>
            <w:r>
              <w:rPr>
                <w:rFonts w:ascii="Calibri" w:hAnsi="Calibri"/>
                <w:sz w:val="22"/>
              </w:rPr>
              <w:t>$83M</w:t>
            </w:r>
          </w:p>
        </w:tc>
        <w:tc>
          <w:tcPr>
            <w:tcW w:type="dxa" w:w="1080"/>
          </w:tcPr>
          <w:p>
            <w:r>
              <w:rPr>
                <w:rFonts w:ascii="Calibri" w:hAnsi="Calibri"/>
                <w:sz w:val="22"/>
              </w:rPr>
              <w:t>$74M</w:t>
            </w:r>
          </w:p>
        </w:tc>
        <w:tc>
          <w:tcPr>
            <w:tcW w:type="dxa" w:w="1080"/>
          </w:tcPr>
          <w:p>
            <w:r>
              <w:rPr>
                <w:rFonts w:ascii="Calibri" w:hAnsi="Calibri"/>
                <w:sz w:val="22"/>
              </w:rPr>
              <w:t>-10.8%</w:t>
            </w:r>
          </w:p>
        </w:tc>
        <w:tc>
          <w:tcPr>
            <w:tcW w:type="dxa" w:w="1080"/>
          </w:tcPr>
          <w:p>
            <w:r>
              <w:rPr>
                <w:rFonts w:ascii="Calibri" w:hAnsi="Calibri"/>
                <w:sz w:val="22"/>
              </w:rPr>
              <w:t>FY EBITDA at lower end of prior range; iGaming prioritized</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N/A — directional only</w:t>
            </w:r>
          </w:p>
        </w:tc>
      </w:tr>
    </w:tbl>
    <w:p>
      <w:r>
        <w:rPr>
          <w:rFonts w:ascii="Calibri" w:hAnsi="Calibri"/>
          <w:i/>
          <w:color w:val="525866"/>
          <w:sz w:val="22"/>
        </w:rPr>
        <w:t>Source: Visible Alpha Consensus and Actuals Data. Post-Q1 baseline as of May 6, 2026 (5 trading days post April 29 earnings).</w:t>
      </w:r>
    </w:p>
    <w:p>
      <w:r>
        <w:rPr>
          <w:rFonts w:ascii="Calibri" w:hAnsi="Calibri"/>
          <w:b/>
          <w:color w:val="525866"/>
          <w:sz w:val="22"/>
        </w:rPr>
        <w:t xml:space="preserve">Commentary: </w:t>
      </w:r>
      <w:r>
        <w:rPr>
          <w:rFonts w:ascii="Calibri" w:hAnsi="Calibri"/>
          <w:color w:val="525866"/>
          <w:sz w:val="22"/>
        </w:rPr>
        <w:t>The modest downward drift in FY2026 EPS (-7.7% from the post-Q1 baseline) reflects the Street absorbing the Q1 self-insurance charge and BetMGM revenue guidance reduction, while Las Vegas EBITDAR estimates have actually ticked slightly higher, consistent with management's constructive convention commentary. The MGM China Q2 estimate has been revised down ~4.5% from the post-Q1 baseline, likely reflecting the LVS Q2 read-through on Macau hold headwinds.</w:t>
      </w:r>
    </w:p>
    <w:p>
      <w:r>
        <w:br w:type="page"/>
      </w:r>
    </w:p>
    <w:p>
      <w:pPr>
        <w:pStyle w:val="Heading2"/>
      </w:pPr>
      <w:r>
        <w:rPr>
          <w:rFonts w:ascii="Calibri" w:hAnsi="Calibri"/>
          <w:b/>
          <w:color w:val="3B4259"/>
          <w:sz w:val="28"/>
        </w:rPr>
        <w:t>5. Stock Performance</w:t>
      </w:r>
    </w:p>
    <w:p>
      <w:r>
        <w:rPr>
          <w:rFonts w:ascii="Calibri" w:hAnsi="Calibri"/>
          <w:b/>
          <w:color w:val="525866"/>
          <w:sz w:val="22"/>
        </w:rPr>
        <w:t xml:space="preserve">Key Takeaway: </w:t>
      </w:r>
      <w:r>
        <w:rPr>
          <w:rFonts w:ascii="Calibri" w:hAnsi="Calibri"/>
          <w:color w:val="525866"/>
          <w:sz w:val="22"/>
        </w:rPr>
        <w:t xml:space="preserve">The stock's ~31% YTD rally and ~17% 3-month gain are overwhelmingly driven by </w:t>
      </w:r>
      <w:r>
        <w:rPr>
          <w:rFonts w:ascii="Calibri" w:hAnsi="Calibri"/>
          <w:b/>
          <w:color w:val="525866"/>
          <w:sz w:val="22"/>
        </w:rPr>
        <w:t>multiple expansion and M&amp;A optionality</w:t>
      </w:r>
      <w:r>
        <w:rPr>
          <w:rFonts w:ascii="Calibri" w:hAnsi="Calibri"/>
          <w:color w:val="525866"/>
          <w:sz w:val="22"/>
        </w:rPr>
        <w:t xml:space="preserve"> (Barry Diller / PPLI bid at $48.30), not earnings revision momentum. EV/EBITDA has expanded from ~16.2x to ~17.2x over 12 months, while EPS estimates have drifted lower — a divergence that makes the stock vulnerable to a fundamental miss.</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1 Month</w:t>
            </w:r>
          </w:p>
        </w:tc>
        <w:tc>
          <w:tcPr>
            <w:tcW w:type="dxa" w:w="1728"/>
            <w:shd w:val="clear" w:color="auto" w:fill="3B4259"/>
          </w:tcPr>
          <w:p>
            <w:r>
              <w:rPr>
                <w:rFonts w:ascii="Calibri" w:hAnsi="Calibri"/>
                <w:b/>
                <w:color w:val="FFFFFF"/>
                <w:sz w:val="22"/>
              </w:rPr>
              <w:t>3 Months</w:t>
            </w:r>
          </w:p>
        </w:tc>
        <w:tc>
          <w:tcPr>
            <w:tcW w:type="dxa" w:w="1728"/>
            <w:shd w:val="clear" w:color="auto" w:fill="3B4259"/>
          </w:tcPr>
          <w:p>
            <w:r>
              <w:rPr>
                <w:rFonts w:ascii="Calibri" w:hAnsi="Calibri"/>
                <w:b/>
                <w:color w:val="FFFFFF"/>
                <w:sz w:val="22"/>
              </w:rPr>
              <w:t>6 Months</w:t>
            </w:r>
          </w:p>
        </w:tc>
        <w:tc>
          <w:tcPr>
            <w:tcW w:type="dxa" w:w="1728"/>
            <w:shd w:val="clear" w:color="auto" w:fill="3B4259"/>
          </w:tcPr>
          <w:p>
            <w:r>
              <w:rPr>
                <w:rFonts w:ascii="Calibri" w:hAnsi="Calibri"/>
                <w:b/>
                <w:color w:val="FFFFFF"/>
                <w:sz w:val="22"/>
              </w:rPr>
              <w:t>12 Months</w:t>
            </w:r>
          </w:p>
        </w:tc>
      </w:tr>
      <w:tr>
        <w:tc>
          <w:tcPr>
            <w:tcW w:type="dxa" w:w="1728"/>
          </w:tcPr>
          <w:p>
            <w:r>
              <w:rPr>
                <w:rFonts w:ascii="Calibri" w:hAnsi="Calibri"/>
                <w:sz w:val="22"/>
              </w:rPr>
              <w:t>MGM Stock Price Change</w:t>
            </w:r>
          </w:p>
        </w:tc>
        <w:tc>
          <w:tcPr>
            <w:tcW w:type="dxa" w:w="1728"/>
          </w:tcPr>
          <w:p>
            <w:r>
              <w:rPr>
                <w:rFonts w:ascii="Calibri" w:hAnsi="Calibri"/>
                <w:sz w:val="22"/>
              </w:rPr>
              <w:t>-1.9%</w:t>
            </w:r>
          </w:p>
        </w:tc>
        <w:tc>
          <w:tcPr>
            <w:tcW w:type="dxa" w:w="1728"/>
          </w:tcPr>
          <w:p>
            <w:r>
              <w:rPr>
                <w:rFonts w:ascii="Calibri" w:hAnsi="Calibri"/>
                <w:sz w:val="22"/>
              </w:rPr>
              <w:t>+17.1%</w:t>
            </w:r>
          </w:p>
        </w:tc>
        <w:tc>
          <w:tcPr>
            <w:tcW w:type="dxa" w:w="1728"/>
          </w:tcPr>
          <w:p>
            <w:r>
              <w:rPr>
                <w:rFonts w:ascii="Calibri" w:hAnsi="Calibri"/>
                <w:sz w:val="22"/>
              </w:rPr>
              <w:t>+36.1%</w:t>
            </w:r>
          </w:p>
        </w:tc>
        <w:tc>
          <w:tcPr>
            <w:tcW w:type="dxa" w:w="1728"/>
          </w:tcPr>
          <w:p>
            <w:r>
              <w:rPr>
                <w:rFonts w:ascii="Calibri" w:hAnsi="Calibri"/>
                <w:sz w:val="22"/>
              </w:rPr>
              <w:t>+24.0%</w:t>
            </w:r>
          </w:p>
        </w:tc>
      </w:tr>
      <w:tr>
        <w:tc>
          <w:tcPr>
            <w:tcW w:type="dxa" w:w="1728"/>
          </w:tcPr>
          <w:p>
            <w:r>
              <w:rPr>
                <w:rFonts w:ascii="Calibri" w:hAnsi="Calibri"/>
                <w:sz w:val="22"/>
              </w:rPr>
              <w:t>NTM EV/EBITDA (then → now)</w:t>
            </w:r>
          </w:p>
        </w:tc>
        <w:tc>
          <w:tcPr>
            <w:tcW w:type="dxa" w:w="1728"/>
          </w:tcPr>
          <w:p>
            <w:r>
              <w:rPr>
                <w:rFonts w:ascii="Calibri" w:hAnsi="Calibri"/>
                <w:sz w:val="22"/>
              </w:rPr>
              <w:t>17.3x → 17.2x (-0.8%)</w:t>
            </w:r>
          </w:p>
        </w:tc>
        <w:tc>
          <w:tcPr>
            <w:tcW w:type="dxa" w:w="1728"/>
          </w:tcPr>
          <w:p>
            <w:r>
              <w:rPr>
                <w:rFonts w:ascii="Calibri" w:hAnsi="Calibri"/>
                <w:sz w:val="22"/>
              </w:rPr>
              <w:t>16.4x → 17.2x (+5.0%)</w:t>
            </w:r>
          </w:p>
        </w:tc>
        <w:tc>
          <w:tcPr>
            <w:tcW w:type="dxa" w:w="1728"/>
          </w:tcPr>
          <w:p>
            <w:r>
              <w:rPr>
                <w:rFonts w:ascii="Calibri" w:hAnsi="Calibri"/>
                <w:sz w:val="22"/>
              </w:rPr>
              <w:t>16.0x → 17.2x (+7.8%)</w:t>
            </w:r>
          </w:p>
        </w:tc>
        <w:tc>
          <w:tcPr>
            <w:tcW w:type="dxa" w:w="1728"/>
          </w:tcPr>
          <w:p>
            <w:r>
              <w:rPr>
                <w:rFonts w:ascii="Calibri" w:hAnsi="Calibri"/>
                <w:sz w:val="22"/>
              </w:rPr>
              <w:t>16.2x → 17.2x (+6.2%)</w:t>
            </w:r>
          </w:p>
        </w:tc>
      </w:tr>
      <w:tr>
        <w:tc>
          <w:tcPr>
            <w:tcW w:type="dxa" w:w="1728"/>
          </w:tcPr>
          <w:p>
            <w:r>
              <w:rPr>
                <w:rFonts w:ascii="Calibri" w:hAnsi="Calibri"/>
                <w:sz w:val="22"/>
              </w:rPr>
              <w:t>NTM P/E (then → now)</w:t>
            </w:r>
          </w:p>
        </w:tc>
        <w:tc>
          <w:tcPr>
            <w:tcW w:type="dxa" w:w="1728"/>
          </w:tcPr>
          <w:p>
            <w:r>
              <w:rPr>
                <w:rFonts w:ascii="Calibri" w:hAnsi="Calibri"/>
                <w:sz w:val="22"/>
              </w:rPr>
              <w:t>23.8x → 22.2x (-6.6%)</w:t>
            </w:r>
          </w:p>
        </w:tc>
        <w:tc>
          <w:tcPr>
            <w:tcW w:type="dxa" w:w="1728"/>
          </w:tcPr>
          <w:p>
            <w:r>
              <w:rPr>
                <w:rFonts w:ascii="Calibri" w:hAnsi="Calibri"/>
                <w:sz w:val="22"/>
              </w:rPr>
              <w:t>19.7x → 22.2x (+12.6%)</w:t>
            </w:r>
          </w:p>
        </w:tc>
        <w:tc>
          <w:tcPr>
            <w:tcW w:type="dxa" w:w="1728"/>
          </w:tcPr>
          <w:p>
            <w:r>
              <w:rPr>
                <w:rFonts w:ascii="Calibri" w:hAnsi="Calibri"/>
                <w:sz w:val="22"/>
              </w:rPr>
              <w:t>17.0x → 22.2x (+31.1%)</w:t>
            </w:r>
          </w:p>
        </w:tc>
        <w:tc>
          <w:tcPr>
            <w:tcW w:type="dxa" w:w="1728"/>
          </w:tcPr>
          <w:p>
            <w:r>
              <w:rPr>
                <w:rFonts w:ascii="Calibri" w:hAnsi="Calibri"/>
                <w:sz w:val="22"/>
              </w:rPr>
              <w:t>15.6x → 22.2x (+42.1%)</w:t>
            </w:r>
          </w:p>
        </w:tc>
      </w:tr>
      <w:tr>
        <w:tc>
          <w:tcPr>
            <w:tcW w:type="dxa" w:w="1728"/>
          </w:tcPr>
          <w:p>
            <w:r>
              <w:rPr>
                <w:rFonts w:ascii="Calibri" w:hAnsi="Calibri"/>
                <w:sz w:val="22"/>
              </w:rPr>
              <w:t>NTM P/FCF (then → now)</w:t>
            </w:r>
          </w:p>
        </w:tc>
        <w:tc>
          <w:tcPr>
            <w:tcW w:type="dxa" w:w="1728"/>
          </w:tcPr>
          <w:p>
            <w:r>
              <w:rPr>
                <w:rFonts w:ascii="Calibri" w:hAnsi="Calibri"/>
                <w:sz w:val="22"/>
              </w:rPr>
              <w:t>9.1x → 8.6x (-6.5%)</w:t>
            </w:r>
          </w:p>
        </w:tc>
        <w:tc>
          <w:tcPr>
            <w:tcW w:type="dxa" w:w="1728"/>
          </w:tcPr>
          <w:p>
            <w:r>
              <w:rPr>
                <w:rFonts w:ascii="Calibri" w:hAnsi="Calibri"/>
                <w:sz w:val="22"/>
              </w:rPr>
              <w:t>7.7x → 8.6x (+11.1%)</w:t>
            </w:r>
          </w:p>
        </w:tc>
        <w:tc>
          <w:tcPr>
            <w:tcW w:type="dxa" w:w="1728"/>
          </w:tcPr>
          <w:p>
            <w:r>
              <w:rPr>
                <w:rFonts w:ascii="Calibri" w:hAnsi="Calibri"/>
                <w:sz w:val="22"/>
              </w:rPr>
              <w:t>7.7x → 8.6x (+11.8%)</w:t>
            </w:r>
          </w:p>
        </w:tc>
        <w:tc>
          <w:tcPr>
            <w:tcW w:type="dxa" w:w="1728"/>
          </w:tcPr>
          <w:p>
            <w:r>
              <w:rPr>
                <w:rFonts w:ascii="Calibri" w:hAnsi="Calibri"/>
                <w:sz w:val="22"/>
              </w:rPr>
              <w:t>10.1x → 8.6x (-15.3%)</w:t>
            </w:r>
          </w:p>
        </w:tc>
      </w:tr>
    </w:tbl>
    <w:p>
      <w:r>
        <w:rPr>
          <w:rFonts w:ascii="Calibri" w:hAnsi="Calibri"/>
          <w:i/>
          <w:color w:val="525866"/>
          <w:sz w:val="22"/>
        </w:rPr>
        <w:t>Source: Stock performance decomposition data as of July 27, 2026. Sector ETF benchmark: BETZ (Roundhill Sports Betting &amp; iGaming ETF) / XLY (Consumer Discretionary) for broader context.</w:t>
      </w:r>
    </w:p>
    <w:p>
      <w:r>
        <w:rPr>
          <w:rFonts w:ascii="Calibri" w:hAnsi="Calibri"/>
          <w:b/>
          <w:color w:val="525866"/>
          <w:sz w:val="22"/>
        </w:rPr>
        <w:t xml:space="preserve">Performance Context: </w:t>
      </w:r>
      <w:r>
        <w:rPr>
          <w:rFonts w:ascii="Calibri" w:hAnsi="Calibri"/>
          <w:color w:val="525866"/>
          <w:sz w:val="22"/>
        </w:rPr>
        <w:t>The stock's 6-month rally of +36% is almost entirely multiple expansion — EV/EBITDA expanded ~7.8% while earnings estimates were flat-to-down. The catalyst was the June 1 Barry Diller / PPLI take-private bid at $48.30/share, which created a floor and compressed the discount to intrinsic value. The 1-month pullback of -1.9% reflects some uncertainty around whether the deal closes at the offered price or at a higher level, as the MGM board has indicated the current offer undervalues the company. Key events since last earnings: (1) PPLI bid announced June 1; (2) Wells Fargo upgraded to Equal Weight with $48.30 PT; (3) BetMGM World Cup record volumes announced July 19; (4) Northfield Park sale closed April 2026 at 6.6x EBITDA.</w:t>
      </w:r>
    </w:p>
    <w:p>
      <w:r>
        <w:br w:type="page"/>
      </w:r>
    </w:p>
    <w:p>
      <w:pPr>
        <w:pStyle w:val="Heading2"/>
      </w:pPr>
      <w:r>
        <w:rPr>
          <w:rFonts w:ascii="Calibri" w:hAnsi="Calibri"/>
          <w:b/>
          <w:color w:val="3B4259"/>
          <w:sz w:val="28"/>
        </w:rPr>
        <w:t>6. Material News &amp; Developments</w:t>
      </w:r>
    </w:p>
    <w:p>
      <w:r>
        <w:rPr>
          <w:rFonts w:ascii="Calibri" w:hAnsi="Calibri"/>
          <w:b/>
          <w:color w:val="525866"/>
          <w:sz w:val="22"/>
        </w:rPr>
        <w:t xml:space="preserve">Key Takeaway: </w:t>
      </w:r>
      <w:r>
        <w:rPr>
          <w:rFonts w:ascii="Calibri" w:hAnsi="Calibri"/>
          <w:color w:val="525866"/>
          <w:sz w:val="22"/>
        </w:rPr>
        <w:t xml:space="preserve">The dominant development since Q1 earnings is the </w:t>
      </w:r>
      <w:r>
        <w:rPr>
          <w:rFonts w:ascii="Calibri" w:hAnsi="Calibri"/>
          <w:b/>
          <w:color w:val="525866"/>
          <w:sz w:val="22"/>
        </w:rPr>
        <w:t>Barry Diller / PPLI take-private bid at $48.30/share</w:t>
      </w:r>
      <w:r>
        <w:rPr>
          <w:rFonts w:ascii="Calibri" w:hAnsi="Calibri"/>
          <w:color w:val="525866"/>
          <w:sz w:val="22"/>
        </w:rPr>
        <w:t xml:space="preserve"> — which has re-rated the stock and shifted investor focus from quarterly fundamentals to deal probability. The Q2 print will be the first opportunity for management to comment publicly on deal status since the bid intensified in July.</w:t>
      </w:r>
    </w:p>
    <w:p>
      <w:pPr>
        <w:pStyle w:val="ListBullet"/>
        <w:ind w:left="360" w:hanging="360"/>
      </w:pPr>
      <w:r>
        <w:rPr>
          <w:rFonts w:ascii="Calibri" w:hAnsi="Calibri"/>
          <w:b/>
          <w:color w:val="525866"/>
          <w:sz w:val="22"/>
        </w:rPr>
        <w:t>July 13, 2026 — PPLI / Barry Diller Take-Private Bid Intensifies:</w:t>
      </w:r>
      <w:r>
        <w:rPr>
          <w:rFonts w:ascii="Calibri" w:hAnsi="Calibri"/>
          <w:color w:val="525866"/>
          <w:sz w:val="22"/>
        </w:rPr>
        <w:t xml:space="preserve"> Reports emerged that MGM is negotiating a deal with PPLI (People Inc., Barry Diller's vehicle) at $48.30/share, valuing the company at ~$12.4B. Diller already owns ~26% of MGM. The MGM board formed a special committee and hired advisers; the board believes the current offer undervalues the company. Stifel argued MGM could be worth $50–$55/share using the Caesars transaction as a comp. Wells Fargo upgraded MGM to Equal Weight from Underweight with a $48.30 PT. </w:t>
      </w:r>
    </w:p>
    <w:p>
      <w:pPr>
        <w:pStyle w:val="ListBullet"/>
        <w:ind w:left="360" w:hanging="360"/>
      </w:pPr>
      <w:r>
        <w:rPr>
          <w:rFonts w:ascii="Calibri" w:hAnsi="Calibri"/>
          <w:b/>
          <w:color w:val="525866"/>
          <w:sz w:val="22"/>
        </w:rPr>
        <w:t>July 19, 2026 — BetMGM World Cup Record Volumes:</w:t>
      </w:r>
      <w:r>
        <w:rPr>
          <w:rFonts w:ascii="Calibri" w:hAnsi="Calibri"/>
          <w:color w:val="525866"/>
          <w:sz w:val="22"/>
        </w:rPr>
        <w:t xml:space="preserve"> BetMGM reported record-breaking performance during the FIFA World Cup, with overall betting volume tripling vs. the 2022 World Cup. Management attributed the outperformance to the expanded tournament format, more teams, and the US hosting advantage. This is a direct positive read-through for Q2 BetMGM revenue and potentially EBITDA, though player-friendly results could offset volume gains.</w:t>
      </w:r>
    </w:p>
    <w:p>
      <w:pPr>
        <w:pStyle w:val="ListBullet"/>
        <w:ind w:left="360" w:hanging="360"/>
      </w:pPr>
      <w:r>
        <w:rPr>
          <w:rFonts w:ascii="Calibri" w:hAnsi="Calibri"/>
          <w:b/>
          <w:color w:val="525866"/>
          <w:sz w:val="22"/>
        </w:rPr>
        <w:t>July 22, 2026 — Wynn Resorts Amends Macau Land Deal for Cotai Expansion:</w:t>
      </w:r>
      <w:r>
        <w:rPr>
          <w:rFonts w:ascii="Calibri" w:hAnsi="Calibri"/>
          <w:color w:val="525866"/>
          <w:sz w:val="22"/>
        </w:rPr>
        <w:t xml:space="preserve"> Wynn's subsidiary amended its Macau land concession for a Cotai expansion. Implication for MGM: signals continued competitive investment in Macau premium mass, reinforcing the need for MGM China's ongoing suite renovations and premium gaming area upgrades.</w:t>
      </w:r>
    </w:p>
    <w:p>
      <w:pPr>
        <w:pStyle w:val="ListBullet"/>
        <w:ind w:left="360" w:hanging="360"/>
      </w:pPr>
      <w:r>
        <w:rPr>
          <w:rFonts w:ascii="Calibri" w:hAnsi="Calibri"/>
          <w:b/>
          <w:color w:val="525866"/>
          <w:sz w:val="22"/>
        </w:rPr>
        <w:t>June 1, 2026 — Private Equity Interest in Casino Sector:</w:t>
      </w:r>
      <w:r>
        <w:rPr>
          <w:rFonts w:ascii="Calibri" w:hAnsi="Calibri"/>
          <w:color w:val="525866"/>
          <w:sz w:val="22"/>
        </w:rPr>
        <w:t xml:space="preserve"> Barron's reported multi-billion dollar private bids for both MGM and Caesars, signaling a major shift as casino giants move from public to private hands. The Caesars / Fertitta deal ($5.7B equity, $17.6B total) at a 49% premium to unaffected price set a valuation benchmark for the sector.</w:t>
      </w:r>
    </w:p>
    <w:p>
      <w:pPr>
        <w:pStyle w:val="ListBullet"/>
        <w:ind w:left="360" w:hanging="360"/>
      </w:pPr>
      <w:r>
        <w:rPr>
          <w:rFonts w:ascii="Calibri" w:hAnsi="Calibri"/>
          <w:b/>
          <w:color w:val="525866"/>
          <w:sz w:val="22"/>
        </w:rPr>
        <w:t>May 28, 2026 — Caesars Entertainment Agrees to Go Private (Fertitta Entertainment, $17.6B):</w:t>
      </w:r>
      <w:r>
        <w:rPr>
          <w:rFonts w:ascii="Calibri" w:hAnsi="Calibri"/>
          <w:color w:val="525866"/>
          <w:sz w:val="22"/>
        </w:rPr>
        <w:t xml:space="preserve"> Caesars agreed to be acquired by Tilman Fertitta's company at $31/share (49% premium). This transaction is the most relevant sector comp for MGM's own take-private discussions and has been cited by analysts as supporting a $50–$55/share valuation for MGM.</w:t>
      </w:r>
    </w:p>
    <w:p>
      <w:pPr>
        <w:pStyle w:val="ListBullet"/>
        <w:ind w:left="360" w:hanging="360"/>
      </w:pPr>
      <w:r>
        <w:rPr>
          <w:rFonts w:ascii="Calibri" w:hAnsi="Calibri"/>
          <w:b/>
          <w:color w:val="525866"/>
          <w:sz w:val="22"/>
        </w:rPr>
        <w:t>April 2026 — Northfield Park Sale Closed at 6.6x EBITDA:</w:t>
      </w:r>
      <w:r>
        <w:rPr>
          <w:rFonts w:ascii="Calibri" w:hAnsi="Calibri"/>
          <w:color w:val="525866"/>
          <w:sz w:val="22"/>
        </w:rPr>
        <w:t xml:space="preserve"> MGM closed the sale of MGM Northfield Park (Ohio slot-only property) for $546M, representing a 6.6x trailing EBITDA multiple — well above the implied brick-and-mortar multiple ascribed to MGM's overall portfolio (sub-3x). Management flagged this as evidence of the market undervaluing MGM's core assets. Proceeds are being redeployed into share repurchases.</w:t>
      </w:r>
    </w:p>
    <w:p>
      <w:pPr>
        <w:pStyle w:val="ListBullet"/>
        <w:ind w:left="360" w:hanging="360"/>
      </w:pPr>
      <w:r>
        <w:rPr>
          <w:rFonts w:ascii="Calibri" w:hAnsi="Calibri"/>
          <w:b/>
          <w:color w:val="525866"/>
          <w:sz w:val="22"/>
        </w:rPr>
        <w:t>June 26, 2026 — MGM Announces Q2 2026 Earnings Release Date:</w:t>
      </w:r>
      <w:r>
        <w:rPr>
          <w:rFonts w:ascii="Calibri" w:hAnsi="Calibri"/>
          <w:color w:val="525866"/>
          <w:sz w:val="22"/>
        </w:rPr>
        <w:t xml:space="preserve"> MGM confirmed July 29, 2026 as the Q2 earnings release date, with a 5:00 PM ET conference call.</w:t>
      </w:r>
    </w:p>
    <w:p>
      <w:pPr>
        <w:pStyle w:val="ListBullet"/>
        <w:ind w:left="360" w:hanging="360"/>
      </w:pPr>
      <w:r>
        <w:rPr>
          <w:rFonts w:ascii="Calibri" w:hAnsi="Calibri"/>
          <w:b/>
          <w:color w:val="525866"/>
          <w:sz w:val="22"/>
        </w:rPr>
        <w:t>July 14, 2026 — BetMGM Q2 2026 Update Conference Call Announced:</w:t>
      </w:r>
      <w:r>
        <w:rPr>
          <w:rFonts w:ascii="Calibri" w:hAnsi="Calibri"/>
          <w:color w:val="525866"/>
          <w:sz w:val="22"/>
        </w:rPr>
        <w:t xml:space="preserve"> MGM announced a separate BetMGM Q2 2026 update and conference call, signaling the company intends to provide granular digital segment disclosure alongside the main earnings release.</w:t>
      </w:r>
    </w:p>
    <w:p>
      <w:r>
        <w:br w:type="page"/>
      </w:r>
    </w:p>
    <w:p>
      <w:pPr>
        <w:pStyle w:val="Heading2"/>
      </w:pPr>
      <w:r>
        <w:rPr>
          <w:rFonts w:ascii="Calibri" w:hAnsi="Calibri"/>
          <w:b/>
          <w:color w:val="3B4259"/>
          <w:sz w:val="28"/>
        </w:rPr>
        <w:t>7. Insider Transaction Activity</w:t>
      </w:r>
    </w:p>
    <w:p>
      <w:r>
        <w:rPr>
          <w:rFonts w:ascii="Calibri" w:hAnsi="Calibri"/>
          <w:b/>
          <w:color w:val="525866"/>
          <w:sz w:val="22"/>
        </w:rPr>
        <w:t xml:space="preserve">Key Takeaway: </w:t>
      </w:r>
      <w:r>
        <w:rPr>
          <w:rFonts w:ascii="Calibri" w:hAnsi="Calibri"/>
          <w:color w:val="525866"/>
          <w:sz w:val="22"/>
        </w:rPr>
        <w:t>Insider activity since the Q1 earnings is minimal — only one transaction was identified in the post-earnings window. The absence of open-market buying by insiders is notable given the take-private bid, but is likely explained by blackout periods and legal constraints around the ongoing deal process.</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Name</w:t>
            </w:r>
          </w:p>
        </w:tc>
        <w:tc>
          <w:tcPr>
            <w:tcW w:type="dxa" w:w="1440"/>
            <w:shd w:val="clear" w:color="auto" w:fill="3B4259"/>
          </w:tcPr>
          <w:p>
            <w:r>
              <w:rPr>
                <w:rFonts w:ascii="Calibri" w:hAnsi="Calibri"/>
                <w:b/>
                <w:color w:val="FFFFFF"/>
                <w:sz w:val="22"/>
              </w:rPr>
              <w:t>Title</w:t>
            </w:r>
          </w:p>
        </w:tc>
        <w:tc>
          <w:tcPr>
            <w:tcW w:type="dxa" w:w="1440"/>
            <w:shd w:val="clear" w:color="auto" w:fill="3B4259"/>
          </w:tcPr>
          <w:p>
            <w:r>
              <w:rPr>
                <w:rFonts w:ascii="Calibri" w:hAnsi="Calibri"/>
                <w:b/>
                <w:color w:val="FFFFFF"/>
                <w:sz w:val="22"/>
              </w:rPr>
              <w:t>Transaction Type</w:t>
            </w:r>
          </w:p>
        </w:tc>
        <w:tc>
          <w:tcPr>
            <w:tcW w:type="dxa" w:w="1440"/>
            <w:shd w:val="clear" w:color="auto" w:fill="3B4259"/>
          </w:tcPr>
          <w:p>
            <w:r>
              <w:rPr>
                <w:rFonts w:ascii="Calibri" w:hAnsi="Calibri"/>
                <w:b/>
                <w:color w:val="FFFFFF"/>
                <w:sz w:val="22"/>
              </w:rPr>
              <w:t>Value</w:t>
            </w:r>
          </w:p>
        </w:tc>
        <w:tc>
          <w:tcPr>
            <w:tcW w:type="dxa" w:w="1440"/>
            <w:shd w:val="clear" w:color="auto" w:fill="3B4259"/>
          </w:tcPr>
          <w:p>
            <w:r>
              <w:rPr>
                <w:rFonts w:ascii="Calibri" w:hAnsi="Calibri"/>
                <w:b/>
                <w:color w:val="FFFFFF"/>
                <w:sz w:val="22"/>
              </w:rPr>
              <w:t>Date</w:t>
            </w:r>
          </w:p>
        </w:tc>
        <w:tc>
          <w:tcPr>
            <w:tcW w:type="dxa" w:w="1440"/>
            <w:shd w:val="clear" w:color="auto" w:fill="3B4259"/>
          </w:tcPr>
          <w:p>
            <w:r>
              <w:rPr>
                <w:rFonts w:ascii="Calibri" w:hAnsi="Calibri"/>
                <w:b/>
                <w:color w:val="FFFFFF"/>
                <w:sz w:val="22"/>
              </w:rPr>
              <w:t>Note</w:t>
            </w:r>
          </w:p>
        </w:tc>
      </w:tr>
      <w:tr>
        <w:tc>
          <w:tcPr>
            <w:tcW w:type="dxa" w:w="1440"/>
          </w:tcPr>
          <w:p>
            <w:r>
              <w:rPr>
                <w:rFonts w:ascii="Calibri" w:hAnsi="Calibri"/>
                <w:sz w:val="22"/>
              </w:rPr>
              <w:t>Daniel J. Taylor</w:t>
            </w:r>
          </w:p>
        </w:tc>
        <w:tc>
          <w:tcPr>
            <w:tcW w:type="dxa" w:w="1440"/>
          </w:tcPr>
          <w:p>
            <w:r>
              <w:rPr>
                <w:rFonts w:ascii="Calibri" w:hAnsi="Calibri"/>
                <w:sz w:val="22"/>
              </w:rPr>
              <w:t>Director</w:t>
            </w:r>
          </w:p>
        </w:tc>
        <w:tc>
          <w:tcPr>
            <w:tcW w:type="dxa" w:w="1440"/>
          </w:tcPr>
          <w:p>
            <w:r>
              <w:rPr>
                <w:rFonts w:ascii="Calibri" w:hAnsi="Calibri"/>
                <w:sz w:val="22"/>
              </w:rPr>
              <w:t>Open Market Sale</w:t>
            </w:r>
          </w:p>
        </w:tc>
        <w:tc>
          <w:tcPr>
            <w:tcW w:type="dxa" w:w="1440"/>
          </w:tcPr>
          <w:p>
            <w:r>
              <w:rPr>
                <w:rFonts w:ascii="Calibri" w:hAnsi="Calibri"/>
                <w:sz w:val="22"/>
              </w:rPr>
              <w:t>~$0 (6,675 shares, grantor trust)</w:t>
            </w:r>
          </w:p>
        </w:tc>
        <w:tc>
          <w:tcPr>
            <w:tcW w:type="dxa" w:w="1440"/>
          </w:tcPr>
          <w:p>
            <w:r>
              <w:rPr>
                <w:rFonts w:ascii="Calibri" w:hAnsi="Calibri"/>
                <w:sz w:val="22"/>
              </w:rPr>
              <w:t>May 22, 2026</w:t>
            </w:r>
          </w:p>
        </w:tc>
        <w:tc>
          <w:tcPr>
            <w:tcW w:type="dxa" w:w="1440"/>
          </w:tcPr>
          <w:p>
            <w:r>
              <w:rPr>
                <w:rFonts w:ascii="Calibri" w:hAnsi="Calibri"/>
                <w:sz w:val="22"/>
              </w:rPr>
              <w:t>Discretionary sale via grantor trust; volume_owned_eod = 0 post-transaction. Modest size; no clear signal.</w:t>
            </w:r>
          </w:p>
        </w:tc>
      </w:tr>
    </w:tbl>
    <w:p>
      <w:r>
        <w:rPr>
          <w:rFonts w:ascii="Calibri" w:hAnsi="Calibri"/>
          <w:i/>
          <w:color w:val="525866"/>
          <w:sz w:val="22"/>
        </w:rPr>
        <w:t>Source: SEC Form 4 Filings Database (filing date window: April 29 – July 27, 2026).</w:t>
      </w:r>
    </w:p>
    <w:p>
      <w:r>
        <w:rPr>
          <w:rFonts w:ascii="Calibri" w:hAnsi="Calibri"/>
          <w:b/>
          <w:color w:val="525866"/>
          <w:sz w:val="22"/>
        </w:rPr>
        <w:t xml:space="preserve">Context: </w:t>
      </w:r>
      <w:r>
        <w:rPr>
          <w:rFonts w:ascii="Calibri" w:hAnsi="Calibri"/>
          <w:color w:val="525866"/>
          <w:sz w:val="22"/>
        </w:rPr>
        <w:t>The near-absence of insider transactions in the post-Q1 window is consistent with the company being in an active deal process (PPLI take-private bid). Insiders are likely subject to trading restrictions and legal counsel guidance during the special committee review. No open-market buys or large discretionary sales were identified — the single Director sale via grantor trust is not a meaningful signal.</w:t>
      </w:r>
    </w:p>
    <w:p>
      <w:r>
        <w:br w:type="page"/>
      </w:r>
    </w:p>
    <w:p>
      <w:pPr>
        <w:pStyle w:val="Heading2"/>
      </w:pPr>
      <w:r>
        <w:rPr>
          <w:rFonts w:ascii="Calibri" w:hAnsi="Calibri"/>
          <w:b/>
          <w:color w:val="3B4259"/>
          <w:sz w:val="28"/>
        </w:rPr>
        <w:t>8. Peer Commentary &amp; Read-Through</w:t>
      </w:r>
    </w:p>
    <w:p>
      <w:r>
        <w:rPr>
          <w:rFonts w:ascii="Calibri" w:hAnsi="Calibri"/>
          <w:b/>
          <w:color w:val="525866"/>
          <w:sz w:val="22"/>
        </w:rPr>
        <w:t xml:space="preserve">Scope &amp; Methodology: </w:t>
      </w:r>
      <w:r>
        <w:rPr>
          <w:rFonts w:ascii="Calibri" w:hAnsi="Calibri"/>
          <w:i/>
          <w:color w:val="525866"/>
          <w:sz w:val="22"/>
        </w:rPr>
        <w:t>This section includes only commentary made within the last 60 days (on or after May 28, 2026) that directly addresses the current reporting quarter (Q2 2026 / April–June 2026) or was made after a peer's last earnings call. Commentary about a peer's own prior-quarter (Q1 2026) results is excluded. Read-through applicability to MGM is explicitly noted for each item.</w:t>
      </w:r>
    </w:p>
    <w:p>
      <w:pPr>
        <w:pStyle w:val="Heading3"/>
      </w:pPr>
      <w:r>
        <w:rPr>
          <w:rFonts w:ascii="Calibri" w:hAnsi="Calibri"/>
          <w:b/>
          <w:color w:val="3B4259"/>
          <w:sz w:val="24"/>
        </w:rPr>
        <w:t>Las Vegas Sands (LVS) — Q2 2026 Earnings (Reported July 22, 2026)</w:t>
      </w:r>
    </w:p>
    <w:p>
      <w:r>
        <w:rPr>
          <w:rFonts w:ascii="Calibri" w:hAnsi="Calibri"/>
          <w:b/>
          <w:color w:val="525866"/>
          <w:sz w:val="22"/>
        </w:rPr>
        <w:t xml:space="preserve">Relevance to MGM: </w:t>
      </w:r>
      <w:r>
        <w:rPr>
          <w:rFonts w:ascii="Calibri" w:hAnsi="Calibri"/>
          <w:color w:val="525866"/>
          <w:sz w:val="22"/>
        </w:rPr>
        <w:t>HIGHEST — LVS is the most direct Macau read-through for MGM China. LVS has no Las Vegas Strip operations (sold in 2021), so its commentary is Macau- and Singapore-specific.</w:t>
      </w:r>
    </w:p>
    <w:p>
      <w:pPr>
        <w:pStyle w:val="ListBullet"/>
        <w:ind w:left="360" w:hanging="360"/>
      </w:pPr>
      <w:r>
        <w:rPr>
          <w:rFonts w:ascii="Calibri" w:hAnsi="Calibri"/>
          <w:b/>
          <w:color w:val="525866"/>
          <w:sz w:val="22"/>
        </w:rPr>
        <w:t>Macau Market GGR Was Flat YoY in Q2 2026:</w:t>
      </w:r>
      <w:r>
        <w:rPr>
          <w:rFonts w:ascii="Calibri" w:hAnsi="Calibri"/>
          <w:color w:val="525866"/>
          <w:sz w:val="22"/>
        </w:rPr>
        <w:t xml:space="preserve"> LVS reported that the overall Macau market's total GGR was flat for Q2 2026 vs. Q2 2025, while Sands China's total GGR grew 4% (and would have grown 14% at normalized hold). Mass GGR for the market grew ~4% YoY. </w:t>
      </w:r>
    </w:p>
    <w:p>
      <w:pPr>
        <w:pStyle w:val="ListBullet"/>
        <w:ind w:left="360" w:hanging="360"/>
      </w:pPr>
      <w:r>
        <w:rPr>
          <w:rFonts w:ascii="Calibri" w:hAnsi="Calibri"/>
          <w:b/>
          <w:color w:val="525866"/>
          <w:sz w:val="22"/>
        </w:rPr>
        <w:t>MGM China Read-Through:</w:t>
      </w:r>
      <w:r>
        <w:rPr>
          <w:rFonts w:ascii="Calibri" w:hAnsi="Calibri"/>
          <w:i/>
          <w:color w:val="525866"/>
          <w:sz w:val="22"/>
        </w:rPr>
        <w:t xml:space="preserve"> A flat overall Macau GGR market is a headwind for MGM China's absolute revenue, though MGM has been gaining share (17.3% exiting Q1). The 4% mass GGR market growth is consistent with MGM China's premium mass strategy. Consensus for MGM China Q2 EBITDAR of $278M (vs. $301M in Q2 2025, -7.6% YoY) appears to already embed this softer market backdrop.</w:t>
      </w:r>
    </w:p>
    <w:p>
      <w:pPr>
        <w:pStyle w:val="ListBullet"/>
        <w:ind w:left="360" w:hanging="360"/>
      </w:pPr>
      <w:r>
        <w:rPr>
          <w:rFonts w:ascii="Calibri" w:hAnsi="Calibri"/>
          <w:b/>
          <w:color w:val="525866"/>
          <w:sz w:val="22"/>
        </w:rPr>
        <w:t>Macau VIP Hold Was Historically Low — "Largest Hold Adjustment in the History of Macau":</w:t>
      </w:r>
      <w:r>
        <w:rPr>
          <w:rFonts w:ascii="Calibri" w:hAnsi="Calibri"/>
          <w:color w:val="525866"/>
          <w:sz w:val="22"/>
        </w:rPr>
        <w:t xml:space="preserve"> LVS reported VIP rolling hold of just 1.35% across Macau (vs. 3.3% theoretical), resulting in an $87M EBITDA headwind. The Venetian Macao had a 0.62% rolling win rate; Plaza/Four Seasons had a negative (1.15)% win rate. LVS called this the "largest hold adjustment we've ever had in the history of Macau."</w:t>
      </w:r>
    </w:p>
    <w:p>
      <w:pPr>
        <w:pStyle w:val="ListBullet"/>
        <w:ind w:left="360" w:hanging="360"/>
      </w:pPr>
      <w:r>
        <w:rPr>
          <w:rFonts w:ascii="Calibri" w:hAnsi="Calibri"/>
          <w:b/>
          <w:color w:val="525866"/>
          <w:sz w:val="22"/>
        </w:rPr>
        <w:t>MGM China Read-Through:</w:t>
      </w:r>
      <w:r>
        <w:rPr>
          <w:rFonts w:ascii="Calibri" w:hAnsi="Calibri"/>
          <w:i/>
          <w:color w:val="525866"/>
          <w:sz w:val="22"/>
        </w:rPr>
        <w:t xml:space="preserve"> This is the single most important read-through for MGM's Q2 print. If hold was market-wide (as LVS implies), MGM China's Q2 EBITDAR could be materially below consensus. A 1-2 percentage point hold miss on MGM China's rolling volume could represent a $30–$60M EBITDA headwind. The Street may not have fully adjusted for this given the LVS print only came on July 22.</w:t>
      </w:r>
    </w:p>
    <w:p>
      <w:pPr>
        <w:pStyle w:val="ListBullet"/>
        <w:ind w:left="360" w:hanging="360"/>
      </w:pPr>
      <w:r>
        <w:rPr>
          <w:rFonts w:ascii="Calibri" w:hAnsi="Calibri"/>
          <w:b/>
          <w:color w:val="525866"/>
          <w:sz w:val="22"/>
        </w:rPr>
        <w:t>World Cup Reduced High-Value Patron Visitation in June:</w:t>
      </w:r>
      <w:r>
        <w:rPr>
          <w:rFonts w:ascii="Calibri" w:hAnsi="Calibri"/>
          <w:color w:val="525866"/>
          <w:sz w:val="22"/>
        </w:rPr>
        <w:t xml:space="preserve"> LVS noted a "very noticeable" decrease in visitation by high-value patrons during the World Cup in June, affecting both Macau and Singapore. May was described as an "all-time high" for mass GGR at Sands China, while June was "clearly softer." LVS management noted the World Cup impact was difficult to quantify given the unprecedented scale of the US-hosted tournament.</w:t>
      </w:r>
    </w:p>
    <w:p>
      <w:pPr>
        <w:pStyle w:val="ListBullet"/>
        <w:ind w:left="360" w:hanging="360"/>
      </w:pPr>
      <w:r>
        <w:rPr>
          <w:rFonts w:ascii="Calibri" w:hAnsi="Calibri"/>
          <w:b/>
          <w:color w:val="525866"/>
          <w:sz w:val="22"/>
        </w:rPr>
        <w:t>MGM China Read-Through:</w:t>
      </w:r>
      <w:r>
        <w:rPr>
          <w:rFonts w:ascii="Calibri" w:hAnsi="Calibri"/>
          <w:i/>
          <w:color w:val="525866"/>
          <w:sz w:val="22"/>
        </w:rPr>
        <w:t xml:space="preserve"> MGM China would have faced the same June softness from World Cup-driven patron diversion. This is consistent with MGM's Q1 call commentary about leveraging the World Cup opportunity for MGM Digital (LeoVegas in Europe/Brazil) — the flip side is reduced Macau visitation. The June softness likely weighed on MGM China's Q2 exit rate.</w:t>
      </w:r>
    </w:p>
    <w:p>
      <w:pPr>
        <w:pStyle w:val="ListBullet"/>
        <w:ind w:left="360" w:hanging="360"/>
      </w:pPr>
      <w:r>
        <w:rPr>
          <w:rFonts w:ascii="Calibri" w:hAnsi="Calibri"/>
          <w:b/>
          <w:color w:val="525866"/>
          <w:sz w:val="22"/>
        </w:rPr>
        <w:t>Macau Premium Mass Growth Remains Primarily Driven by Premium Segment; Competition Intense:</w:t>
      </w:r>
      <w:r>
        <w:rPr>
          <w:rFonts w:ascii="Calibri" w:hAnsi="Calibri"/>
          <w:color w:val="525866"/>
          <w:sz w:val="22"/>
        </w:rPr>
        <w:t xml:space="preserve"> LVS noted that Macau market growth "remains primarily driven by the premium segment" and that competition in that segment "remains intense." Sands China gained significant VIP rolling market share (26% volume share) and outgrew the market in mass GGR (8% vs. 4% market).</w:t>
      </w:r>
    </w:p>
    <w:p>
      <w:pPr>
        <w:pStyle w:val="ListBullet"/>
        <w:ind w:left="360" w:hanging="360"/>
      </w:pPr>
      <w:r>
        <w:rPr>
          <w:rFonts w:ascii="Calibri" w:hAnsi="Calibri"/>
          <w:b/>
          <w:color w:val="525866"/>
          <w:sz w:val="22"/>
        </w:rPr>
        <w:t>MGM China Read-Through:</w:t>
      </w:r>
      <w:r>
        <w:rPr>
          <w:rFonts w:ascii="Calibri" w:hAnsi="Calibri"/>
          <w:i/>
          <w:color w:val="525866"/>
          <w:sz w:val="22"/>
        </w:rPr>
        <w:t xml:space="preserve"> MGM China's premium mass strategy (suite renovations at Cotai, 100 suites being designed at Macau side) is directly competing in this segment. LVS's market share gains suggest MGM may face incremental competitive pressure, though MGM's own share gains (15.4% Q1, 17.3% March exit) suggest it is also winning.</w:t>
      </w:r>
    </w:p>
    <w:p>
      <w:pPr>
        <w:pStyle w:val="ListBullet"/>
        <w:ind w:left="360" w:hanging="360"/>
      </w:pPr>
      <w:r>
        <w:rPr>
          <w:rFonts w:ascii="Calibri" w:hAnsi="Calibri"/>
          <w:b/>
          <w:color w:val="525866"/>
          <w:sz w:val="22"/>
        </w:rPr>
        <w:t>LVS Macau EBITDA Target of $700M/Quarter Maintained; Opex Growth to Level Off in H2 2026:</w:t>
      </w:r>
      <w:r>
        <w:rPr>
          <w:rFonts w:ascii="Calibri" w:hAnsi="Calibri"/>
          <w:color w:val="525866"/>
          <w:sz w:val="22"/>
        </w:rPr>
        <w:t xml:space="preserve"> LVS reiterated its $700M quarterly Macau EBITDA target and noted that the increased investment in operating expenses "should begin to level off in the second half of 2026." The rate of opex growth is expected to moderate into H2 2026 and 2027.</w:t>
      </w:r>
    </w:p>
    <w:p>
      <w:pPr>
        <w:pStyle w:val="ListBullet"/>
        <w:ind w:left="360" w:hanging="360"/>
      </w:pPr>
      <w:r>
        <w:rPr>
          <w:rFonts w:ascii="Calibri" w:hAnsi="Calibri"/>
          <w:b/>
          <w:color w:val="525866"/>
          <w:sz w:val="22"/>
        </w:rPr>
        <w:t>MGM China Read-Through:</w:t>
      </w:r>
      <w:r>
        <w:rPr>
          <w:rFonts w:ascii="Calibri" w:hAnsi="Calibri"/>
          <w:i/>
          <w:color w:val="525866"/>
          <w:sz w:val="22"/>
        </w:rPr>
        <w:t xml:space="preserve"> The opex moderation commentary is broadly positive for the Macau sector's margin trajectory in H2 2026, which could benefit MGM China's margin recovery after the branding fee headwind absorbed in Q1.</w:t>
      </w:r>
    </w:p>
    <w:p>
      <w:pPr>
        <w:pStyle w:val="ListBullet"/>
        <w:ind w:left="360" w:hanging="360"/>
      </w:pPr>
      <w:r>
        <w:rPr>
          <w:rFonts w:ascii="Calibri" w:hAnsi="Calibri"/>
          <w:b/>
          <w:color w:val="525866"/>
          <w:sz w:val="22"/>
        </w:rPr>
        <w:t>LVS Repurchased $787M of Stock in Q2; Board Increased Authorization to $6B:</w:t>
      </w:r>
      <w:r>
        <w:rPr>
          <w:rFonts w:ascii="Calibri" w:hAnsi="Calibri"/>
          <w:color w:val="525866"/>
          <w:sz w:val="22"/>
        </w:rPr>
        <w:t xml:space="preserve"> LVS's aggressive capital return signals confidence in the business despite the hold-impacted quarter. The $6B authorization represents ~20% of market cap.</w:t>
      </w:r>
    </w:p>
    <w:p>
      <w:pPr>
        <w:pStyle w:val="ListBullet"/>
        <w:ind w:left="360" w:hanging="360"/>
      </w:pPr>
      <w:r>
        <w:rPr>
          <w:rFonts w:ascii="Calibri" w:hAnsi="Calibri"/>
          <w:b/>
          <w:color w:val="525866"/>
          <w:sz w:val="22"/>
        </w:rPr>
        <w:t>MGM Read-Through:</w:t>
      </w:r>
      <w:r>
        <w:rPr>
          <w:rFonts w:ascii="Calibri" w:hAnsi="Calibri"/>
          <w:i/>
          <w:color w:val="525866"/>
          <w:sz w:val="22"/>
        </w:rPr>
        <w:t xml:space="preserve"> Limited direct read-through for MGM's capital allocation, but the sector-wide trend of aggressive buybacks (MGM has repurchased ~50% of shares over 5 years) is consistent. MGM's own buyback pace may be constrained by the ongoing take-private process.</w:t>
      </w:r>
    </w:p>
    <w:p>
      <w:pPr>
        <w:pStyle w:val="Heading3"/>
      </w:pPr>
      <w:r>
        <w:rPr>
          <w:rFonts w:ascii="Calibri" w:hAnsi="Calibri"/>
          <w:b/>
          <w:color w:val="3B4259"/>
          <w:sz w:val="24"/>
        </w:rPr>
        <w:t>Wynn Resorts (WYNN) — Post-Q1 2026 Developments (July 22, 2026)</w:t>
      </w:r>
    </w:p>
    <w:p>
      <w:r>
        <w:rPr>
          <w:rFonts w:ascii="Calibri" w:hAnsi="Calibri"/>
          <w:b/>
          <w:color w:val="525866"/>
          <w:sz w:val="22"/>
        </w:rPr>
        <w:t xml:space="preserve">Relevance to MGM: </w:t>
      </w:r>
      <w:r>
        <w:rPr>
          <w:rFonts w:ascii="Calibri" w:hAnsi="Calibri"/>
          <w:color w:val="525866"/>
          <w:sz w:val="22"/>
        </w:rPr>
        <w:t>MEDIUM — Wynn is a direct Macau competitor (Wynn Macau, Wynn Palace Cotai) and a Las Vegas Strip peer. WYNN reports Q2 2026 earnings after MGM (date TBD).</w:t>
      </w:r>
    </w:p>
    <w:p>
      <w:pPr>
        <w:pStyle w:val="ListBullet"/>
        <w:ind w:left="360" w:hanging="360"/>
      </w:pPr>
      <w:r>
        <w:rPr>
          <w:rFonts w:ascii="Calibri" w:hAnsi="Calibri"/>
          <w:b/>
          <w:color w:val="525866"/>
          <w:sz w:val="22"/>
        </w:rPr>
        <w:t>July 22, 2026 — Wynn Resorts Subsidiary Amends Macau Land Deal for Cotai Expansion:</w:t>
      </w:r>
      <w:r>
        <w:rPr>
          <w:rFonts w:ascii="Calibri" w:hAnsi="Calibri"/>
          <w:color w:val="525866"/>
          <w:sz w:val="22"/>
        </w:rPr>
        <w:t xml:space="preserve"> Wynn's Macau subsidiary amended its land concession contract to enable a Cotai expansion. This is a post-Q1 development (after Wynn's last earnings) that directly addresses the current competitive environment in Macau.</w:t>
      </w:r>
    </w:p>
    <w:p>
      <w:pPr>
        <w:pStyle w:val="ListBullet"/>
        <w:ind w:left="360" w:hanging="360"/>
      </w:pPr>
      <w:r>
        <w:rPr>
          <w:rFonts w:ascii="Calibri" w:hAnsi="Calibri"/>
          <w:b/>
          <w:color w:val="525866"/>
          <w:sz w:val="22"/>
        </w:rPr>
        <w:t>MGM China Read-Through:</w:t>
      </w:r>
      <w:r>
        <w:rPr>
          <w:rFonts w:ascii="Calibri" w:hAnsi="Calibri"/>
          <w:i/>
          <w:color w:val="525866"/>
          <w:sz w:val="22"/>
        </w:rPr>
        <w:t xml:space="preserve"> Wynn's continued investment in Cotai expansion reinforces the competitive intensity in Macau's premium mass segment flagged by LVS. MGM China's own suite renovation program at Cotai (recently completed ahead of Golden Week) and the 100-suite Macau side renovation in design are the right strategic response, but the competitive bar is rising. This is a medium-term headwind for MGM China's market share, not a Q2 2026 issue.</w:t>
      </w:r>
    </w:p>
    <w:p>
      <w:r>
        <w:rPr>
          <w:rFonts w:ascii="Calibri" w:hAnsi="Calibri"/>
          <w:b/>
          <w:color w:val="525866"/>
          <w:sz w:val="22"/>
        </w:rPr>
        <w:t xml:space="preserve">Note: </w:t>
      </w:r>
      <w:r>
        <w:rPr>
          <w:rFonts w:ascii="Calibri" w:hAnsi="Calibri"/>
          <w:i/>
          <w:color w:val="525866"/>
          <w:sz w:val="22"/>
        </w:rPr>
        <w:t>Wynn's Q2 2026 earnings have not yet been reported as of July 27, 2026. No Q2 2026 operating commentary from Wynn management is available. The Cotai land amendment is the only post-Q1 Wynn development with read-through relevance.</w:t>
      </w:r>
    </w:p>
    <w:p>
      <w:pPr>
        <w:pStyle w:val="Heading3"/>
      </w:pPr>
      <w:r>
        <w:rPr>
          <w:rFonts w:ascii="Calibri" w:hAnsi="Calibri"/>
          <w:b/>
          <w:color w:val="3B4259"/>
          <w:sz w:val="24"/>
        </w:rPr>
        <w:t>Caesars Entertainment (CZR) — Sector Read-Through (May 28, 2026)</w:t>
      </w:r>
    </w:p>
    <w:p>
      <w:r>
        <w:rPr>
          <w:rFonts w:ascii="Calibri" w:hAnsi="Calibri"/>
          <w:b/>
          <w:color w:val="525866"/>
          <w:sz w:val="22"/>
        </w:rPr>
        <w:t xml:space="preserve">Relevance to MGM: </w:t>
      </w:r>
      <w:r>
        <w:rPr>
          <w:rFonts w:ascii="Calibri" w:hAnsi="Calibri"/>
          <w:color w:val="525866"/>
          <w:sz w:val="22"/>
        </w:rPr>
        <w:t>MEDIUM — Caesars is a direct Las Vegas Strip and regional gaming peer. The Fertitta take-private deal is the most relevant sector comp for MGM's own take-private discussions.</w:t>
      </w:r>
    </w:p>
    <w:p>
      <w:pPr>
        <w:pStyle w:val="ListBullet"/>
        <w:ind w:left="360" w:hanging="360"/>
      </w:pPr>
      <w:r>
        <w:rPr>
          <w:rFonts w:ascii="Calibri" w:hAnsi="Calibri"/>
          <w:b/>
          <w:color w:val="525866"/>
          <w:sz w:val="22"/>
        </w:rPr>
        <w:t>May 28, 2026 — Caesars Agrees to Go Private (Fertitta Entertainment, $17.6B / $31/share, 49% Premium):</w:t>
      </w:r>
      <w:r>
        <w:rPr>
          <w:rFonts w:ascii="Calibri" w:hAnsi="Calibri"/>
          <w:color w:val="525866"/>
          <w:sz w:val="22"/>
        </w:rPr>
        <w:t xml:space="preserve"> Caesars agreed to be acquired by Tilman Fertitta's company at $31/share in cash, representing a 49% premium to the unaffected share price. The deal values Caesars at $17.6B (cash + debt). Bondholders expressed concern about the significant debt financing required.</w:t>
      </w:r>
    </w:p>
    <w:p>
      <w:pPr>
        <w:pStyle w:val="ListBullet"/>
        <w:ind w:left="360" w:hanging="360"/>
      </w:pPr>
      <w:r>
        <w:rPr>
          <w:rFonts w:ascii="Calibri" w:hAnsi="Calibri"/>
          <w:b/>
          <w:color w:val="525866"/>
          <w:sz w:val="22"/>
        </w:rPr>
        <w:t>MGM Read-Through:</w:t>
      </w:r>
      <w:r>
        <w:rPr>
          <w:rFonts w:ascii="Calibri" w:hAnsi="Calibri"/>
          <w:i/>
          <w:color w:val="525866"/>
          <w:sz w:val="22"/>
        </w:rPr>
        <w:t xml:space="preserve"> The Caesars transaction is the primary valuation anchor for MGM's own take-private discussions. Stifel used the Caesars deal to argue MGM is worth $50–$55/share. The 49% premium and the willingness of private capital to absorb casino debt loads at current rates is a direct positive for MGM's deal probability and potential price. The Caesars deal also validates the private equity thesis that public casino valuations are depressed relative to private market values.</w:t>
      </w:r>
    </w:p>
    <w:p>
      <w:r>
        <w:rPr>
          <w:rFonts w:ascii="Calibri" w:hAnsi="Calibri"/>
          <w:b/>
          <w:color w:val="525866"/>
          <w:sz w:val="22"/>
        </w:rPr>
        <w:t xml:space="preserve">Note: </w:t>
      </w:r>
      <w:r>
        <w:rPr>
          <w:rFonts w:ascii="Calibri" w:hAnsi="Calibri"/>
          <w:i/>
          <w:color w:val="525866"/>
          <w:sz w:val="22"/>
        </w:rPr>
        <w:t>Caesars' Q2 2026 earnings have not yet been reported as of July 27, 2026. No Q2 2026 operating commentary from Caesars management is available. The Fertitta deal announcement is the only post-Q1 Caesars development with read-through relevance for MGM.</w:t>
      </w:r>
    </w:p>
    <w:p>
      <w:pPr>
        <w:pStyle w:val="Heading3"/>
      </w:pPr>
      <w:r>
        <w:rPr>
          <w:rFonts w:ascii="Calibri" w:hAnsi="Calibri"/>
          <w:b/>
          <w:color w:val="3B4259"/>
          <w:sz w:val="24"/>
        </w:rPr>
        <w:t>BetMGM / Digital Gaming Sector — World Cup Read-Through (July 19, 2026)</w:t>
      </w:r>
    </w:p>
    <w:p>
      <w:r>
        <w:rPr>
          <w:rFonts w:ascii="Calibri" w:hAnsi="Calibri"/>
          <w:b/>
          <w:color w:val="525866"/>
          <w:sz w:val="22"/>
        </w:rPr>
        <w:t xml:space="preserve">Relevance to MGM: </w:t>
      </w:r>
      <w:r>
        <w:rPr>
          <w:rFonts w:ascii="Calibri" w:hAnsi="Calibri"/>
          <w:color w:val="525866"/>
          <w:sz w:val="22"/>
        </w:rPr>
        <w:t>HIGH — BetMGM is a 50/50 JV between MGM and Entain. World Cup betting volumes are a direct Q2 2026 revenue driver for BetMGM.</w:t>
      </w:r>
    </w:p>
    <w:p>
      <w:pPr>
        <w:pStyle w:val="ListBullet"/>
        <w:ind w:left="360" w:hanging="360"/>
      </w:pPr>
      <w:r>
        <w:rPr>
          <w:rFonts w:ascii="Calibri" w:hAnsi="Calibri"/>
          <w:b/>
          <w:color w:val="525866"/>
          <w:sz w:val="22"/>
        </w:rPr>
        <w:t>July 19, 2026 — BetMGM Reports Record World Cup Volumes (Most-Bet World Cup in MGM History):</w:t>
      </w:r>
      <w:r>
        <w:rPr>
          <w:rFonts w:ascii="Calibri" w:hAnsi="Calibri"/>
          <w:color w:val="525866"/>
          <w:sz w:val="22"/>
        </w:rPr>
        <w:t xml:space="preserve"> BetMGM leadership stated the 2026 FIFA World Cup became the most-bet World Cup in MGM history, with overall volume tripling vs. the 2022 World Cup. The company attributed the outperformance to the expanded tournament format (more teams, more games), the US hosting advantage, and increased global viewership.</w:t>
      </w:r>
    </w:p>
    <w:p>
      <w:pPr>
        <w:pStyle w:val="ListBullet"/>
        <w:ind w:left="360" w:hanging="360"/>
      </w:pPr>
      <w:r>
        <w:rPr>
          <w:rFonts w:ascii="Calibri" w:hAnsi="Calibri"/>
          <w:b/>
          <w:color w:val="525866"/>
          <w:sz w:val="22"/>
        </w:rPr>
        <w:t>MGM Read-Through:</w:t>
      </w:r>
      <w:r>
        <w:rPr>
          <w:rFonts w:ascii="Calibri" w:hAnsi="Calibri"/>
          <w:i/>
          <w:color w:val="525866"/>
          <w:sz w:val="22"/>
        </w:rPr>
        <w:t xml:space="preserve"> This is a direct positive for BetMGM's Q2 2026 revenue. Tripling of World Cup volumes vs. 2022 is a significant tailwind. However, the key question is hold: player-friendly results (which BetMGM flagged as a headwind in Q1) could offset volume gains. Management's Q1 commentary about moderating sports spend and prioritizing iGaming margins suggests the EBITDA impact may be more muted than the revenue headline implies. Consensus BetMGM Q2 EBITDA of $74M (vs. $65M in Q2 2025) may prove conservative if hold was favorable.</w:t>
      </w:r>
    </w:p>
    <w:p>
      <w:pPr>
        <w:pStyle w:val="Heading3"/>
      </w:pPr>
      <w:r>
        <w:rPr>
          <w:rFonts w:ascii="Calibri" w:hAnsi="Calibri"/>
          <w:b/>
          <w:color w:val="3B4259"/>
          <w:sz w:val="24"/>
        </w:rPr>
        <w:t>Peer Read-Through Summary Table</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Peer</w:t>
            </w:r>
          </w:p>
        </w:tc>
        <w:tc>
          <w:tcPr>
            <w:tcW w:type="dxa" w:w="1440"/>
            <w:shd w:val="clear" w:color="auto" w:fill="3B4259"/>
          </w:tcPr>
          <w:p>
            <w:r>
              <w:rPr>
                <w:rFonts w:ascii="Calibri" w:hAnsi="Calibri"/>
                <w:b/>
                <w:color w:val="FFFFFF"/>
                <w:sz w:val="22"/>
              </w:rPr>
              <w:t>Commentary Date</w:t>
            </w:r>
          </w:p>
        </w:tc>
        <w:tc>
          <w:tcPr>
            <w:tcW w:type="dxa" w:w="1440"/>
            <w:shd w:val="clear" w:color="auto" w:fill="3B4259"/>
          </w:tcPr>
          <w:p>
            <w:r>
              <w:rPr>
                <w:rFonts w:ascii="Calibri" w:hAnsi="Calibri"/>
                <w:b/>
                <w:color w:val="FFFFFF"/>
                <w:sz w:val="22"/>
              </w:rPr>
              <w:t>Key Insight</w:t>
            </w:r>
          </w:p>
        </w:tc>
        <w:tc>
          <w:tcPr>
            <w:tcW w:type="dxa" w:w="1440"/>
            <w:shd w:val="clear" w:color="auto" w:fill="3B4259"/>
          </w:tcPr>
          <w:p>
            <w:r>
              <w:rPr>
                <w:rFonts w:ascii="Calibri" w:hAnsi="Calibri"/>
                <w:b/>
                <w:color w:val="FFFFFF"/>
                <w:sz w:val="22"/>
              </w:rPr>
              <w:t>MGM Segment Impacted</w:t>
            </w:r>
          </w:p>
        </w:tc>
        <w:tc>
          <w:tcPr>
            <w:tcW w:type="dxa" w:w="1440"/>
            <w:shd w:val="clear" w:color="auto" w:fill="3B4259"/>
          </w:tcPr>
          <w:p>
            <w:r>
              <w:rPr>
                <w:rFonts w:ascii="Calibri" w:hAnsi="Calibri"/>
                <w:b/>
                <w:color w:val="FFFFFF"/>
                <w:sz w:val="22"/>
              </w:rPr>
              <w:t>Direction</w:t>
            </w:r>
          </w:p>
        </w:tc>
        <w:tc>
          <w:tcPr>
            <w:tcW w:type="dxa" w:w="1440"/>
            <w:shd w:val="clear" w:color="auto" w:fill="3B4259"/>
          </w:tcPr>
          <w:p>
            <w:r>
              <w:rPr>
                <w:rFonts w:ascii="Calibri" w:hAnsi="Calibri"/>
                <w:b/>
                <w:color w:val="FFFFFF"/>
                <w:sz w:val="22"/>
              </w:rPr>
              <w:t>Confidence</w:t>
            </w:r>
          </w:p>
        </w:tc>
      </w:tr>
      <w:tr>
        <w:tc>
          <w:tcPr>
            <w:tcW w:type="dxa" w:w="1440"/>
          </w:tcPr>
          <w:p>
            <w:r>
              <w:rPr>
                <w:rFonts w:ascii="Calibri" w:hAnsi="Calibri"/>
                <w:sz w:val="22"/>
              </w:rPr>
              <w:t>LVS</w:t>
            </w:r>
          </w:p>
        </w:tc>
        <w:tc>
          <w:tcPr>
            <w:tcW w:type="dxa" w:w="1440"/>
          </w:tcPr>
          <w:p>
            <w:r>
              <w:rPr>
                <w:rFonts w:ascii="Calibri" w:hAnsi="Calibri"/>
                <w:sz w:val="22"/>
              </w:rPr>
              <w:t>Jul 22, 2026</w:t>
            </w:r>
          </w:p>
        </w:tc>
        <w:tc>
          <w:tcPr>
            <w:tcW w:type="dxa" w:w="1440"/>
          </w:tcPr>
          <w:p>
            <w:r>
              <w:rPr>
                <w:rFonts w:ascii="Calibri" w:hAnsi="Calibri"/>
                <w:sz w:val="22"/>
              </w:rPr>
              <w:t>Macau VIP hold at 1.35% vs. 3.3% theoretical — "largest hold adjustment in Macau history"</w:t>
            </w:r>
          </w:p>
        </w:tc>
        <w:tc>
          <w:tcPr>
            <w:tcW w:type="dxa" w:w="1440"/>
          </w:tcPr>
          <w:p>
            <w:r>
              <w:rPr>
                <w:rFonts w:ascii="Calibri" w:hAnsi="Calibri"/>
                <w:sz w:val="22"/>
              </w:rPr>
              <w:t>MGM China EBITDAR</w:t>
            </w:r>
          </w:p>
        </w:tc>
        <w:tc>
          <w:tcPr>
            <w:tcW w:type="dxa" w:w="1440"/>
          </w:tcPr>
          <w:p>
            <w:r>
              <w:rPr>
                <w:rFonts w:ascii="Calibri" w:hAnsi="Calibri"/>
                <w:b/>
                <w:color w:val="E5484D"/>
                <w:sz w:val="22"/>
              </w:rPr>
              <w:t>Negative</w:t>
            </w:r>
          </w:p>
        </w:tc>
        <w:tc>
          <w:tcPr>
            <w:tcW w:type="dxa" w:w="1440"/>
          </w:tcPr>
          <w:p>
            <w:r>
              <w:rPr>
                <w:rFonts w:ascii="Calibri" w:hAnsi="Calibri"/>
                <w:sz w:val="22"/>
              </w:rPr>
              <w:t>High</w:t>
            </w:r>
          </w:p>
        </w:tc>
      </w:tr>
      <w:tr>
        <w:tc>
          <w:tcPr>
            <w:tcW w:type="dxa" w:w="1440"/>
          </w:tcPr>
          <w:p>
            <w:r>
              <w:rPr>
                <w:rFonts w:ascii="Calibri" w:hAnsi="Calibri"/>
                <w:sz w:val="22"/>
              </w:rPr>
              <w:t>LVS</w:t>
            </w:r>
          </w:p>
        </w:tc>
        <w:tc>
          <w:tcPr>
            <w:tcW w:type="dxa" w:w="1440"/>
          </w:tcPr>
          <w:p>
            <w:r>
              <w:rPr>
                <w:rFonts w:ascii="Calibri" w:hAnsi="Calibri"/>
                <w:sz w:val="22"/>
              </w:rPr>
              <w:t>Jul 22, 2026</w:t>
            </w:r>
          </w:p>
        </w:tc>
        <w:tc>
          <w:tcPr>
            <w:tcW w:type="dxa" w:w="1440"/>
          </w:tcPr>
          <w:p>
            <w:r>
              <w:rPr>
                <w:rFonts w:ascii="Calibri" w:hAnsi="Calibri"/>
                <w:sz w:val="22"/>
              </w:rPr>
              <w:t>Macau overall GGR flat YoY; mass GGR +4%; premium segment driving growth</w:t>
            </w:r>
          </w:p>
        </w:tc>
        <w:tc>
          <w:tcPr>
            <w:tcW w:type="dxa" w:w="1440"/>
          </w:tcPr>
          <w:p>
            <w:r>
              <w:rPr>
                <w:rFonts w:ascii="Calibri" w:hAnsi="Calibri"/>
                <w:sz w:val="22"/>
              </w:rPr>
              <w:t>MGM China Revenue</w:t>
            </w:r>
          </w:p>
        </w:tc>
        <w:tc>
          <w:tcPr>
            <w:tcW w:type="dxa" w:w="1440"/>
          </w:tcPr>
          <w:p>
            <w:r>
              <w:rPr>
                <w:rFonts w:ascii="Calibri" w:hAnsi="Calibri"/>
                <w:b/>
                <w:color w:val="002FA7"/>
                <w:sz w:val="22"/>
              </w:rPr>
              <w:t>Neutral</w:t>
            </w:r>
          </w:p>
        </w:tc>
        <w:tc>
          <w:tcPr>
            <w:tcW w:type="dxa" w:w="1440"/>
          </w:tcPr>
          <w:p>
            <w:r>
              <w:rPr>
                <w:rFonts w:ascii="Calibri" w:hAnsi="Calibri"/>
                <w:sz w:val="22"/>
              </w:rPr>
              <w:t>High</w:t>
            </w:r>
          </w:p>
        </w:tc>
      </w:tr>
      <w:tr>
        <w:tc>
          <w:tcPr>
            <w:tcW w:type="dxa" w:w="1440"/>
          </w:tcPr>
          <w:p>
            <w:r>
              <w:rPr>
                <w:rFonts w:ascii="Calibri" w:hAnsi="Calibri"/>
                <w:sz w:val="22"/>
              </w:rPr>
              <w:t>LVS</w:t>
            </w:r>
          </w:p>
        </w:tc>
        <w:tc>
          <w:tcPr>
            <w:tcW w:type="dxa" w:w="1440"/>
          </w:tcPr>
          <w:p>
            <w:r>
              <w:rPr>
                <w:rFonts w:ascii="Calibri" w:hAnsi="Calibri"/>
                <w:sz w:val="22"/>
              </w:rPr>
              <w:t>Jul 22, 2026</w:t>
            </w:r>
          </w:p>
        </w:tc>
        <w:tc>
          <w:tcPr>
            <w:tcW w:type="dxa" w:w="1440"/>
          </w:tcPr>
          <w:p>
            <w:r>
              <w:rPr>
                <w:rFonts w:ascii="Calibri" w:hAnsi="Calibri"/>
                <w:sz w:val="22"/>
              </w:rPr>
              <w:t>World Cup reduced high-value patron visitation in June; May was all-time high for mass GGR</w:t>
            </w:r>
          </w:p>
        </w:tc>
        <w:tc>
          <w:tcPr>
            <w:tcW w:type="dxa" w:w="1440"/>
          </w:tcPr>
          <w:p>
            <w:r>
              <w:rPr>
                <w:rFonts w:ascii="Calibri" w:hAnsi="Calibri"/>
                <w:sz w:val="22"/>
              </w:rPr>
              <w:t>MGM China EBITDAR</w:t>
            </w:r>
          </w:p>
        </w:tc>
        <w:tc>
          <w:tcPr>
            <w:tcW w:type="dxa" w:w="1440"/>
          </w:tcPr>
          <w:p>
            <w:r>
              <w:rPr>
                <w:rFonts w:ascii="Calibri" w:hAnsi="Calibri"/>
                <w:b/>
                <w:color w:val="E5484D"/>
                <w:sz w:val="22"/>
              </w:rPr>
              <w:t>Negative (June)</w:t>
            </w:r>
          </w:p>
        </w:tc>
        <w:tc>
          <w:tcPr>
            <w:tcW w:type="dxa" w:w="1440"/>
          </w:tcPr>
          <w:p>
            <w:r>
              <w:rPr>
                <w:rFonts w:ascii="Calibri" w:hAnsi="Calibri"/>
                <w:sz w:val="22"/>
              </w:rPr>
              <w:t>High</w:t>
            </w:r>
          </w:p>
        </w:tc>
      </w:tr>
      <w:tr>
        <w:tc>
          <w:tcPr>
            <w:tcW w:type="dxa" w:w="1440"/>
          </w:tcPr>
          <w:p>
            <w:r>
              <w:rPr>
                <w:rFonts w:ascii="Calibri" w:hAnsi="Calibri"/>
                <w:sz w:val="22"/>
              </w:rPr>
              <w:t>LVS</w:t>
            </w:r>
          </w:p>
        </w:tc>
        <w:tc>
          <w:tcPr>
            <w:tcW w:type="dxa" w:w="1440"/>
          </w:tcPr>
          <w:p>
            <w:r>
              <w:rPr>
                <w:rFonts w:ascii="Calibri" w:hAnsi="Calibri"/>
                <w:sz w:val="22"/>
              </w:rPr>
              <w:t>Jul 22, 2026</w:t>
            </w:r>
          </w:p>
        </w:tc>
        <w:tc>
          <w:tcPr>
            <w:tcW w:type="dxa" w:w="1440"/>
          </w:tcPr>
          <w:p>
            <w:r>
              <w:rPr>
                <w:rFonts w:ascii="Calibri" w:hAnsi="Calibri"/>
                <w:sz w:val="22"/>
              </w:rPr>
              <w:t>Macau opex growth to level off in H2 2026; reinvestment optimization ongoing</w:t>
            </w:r>
          </w:p>
        </w:tc>
        <w:tc>
          <w:tcPr>
            <w:tcW w:type="dxa" w:w="1440"/>
          </w:tcPr>
          <w:p>
            <w:r>
              <w:rPr>
                <w:rFonts w:ascii="Calibri" w:hAnsi="Calibri"/>
                <w:sz w:val="22"/>
              </w:rPr>
              <w:t>MGM China Margins (H2)</w:t>
            </w:r>
          </w:p>
        </w:tc>
        <w:tc>
          <w:tcPr>
            <w:tcW w:type="dxa" w:w="1440"/>
          </w:tcPr>
          <w:p>
            <w:r>
              <w:rPr>
                <w:rFonts w:ascii="Calibri" w:hAnsi="Calibri"/>
                <w:b/>
                <w:color w:val="30A46C"/>
                <w:sz w:val="22"/>
              </w:rPr>
              <w:t>Positive (H2)</w:t>
            </w:r>
          </w:p>
        </w:tc>
        <w:tc>
          <w:tcPr>
            <w:tcW w:type="dxa" w:w="1440"/>
          </w:tcPr>
          <w:p>
            <w:r>
              <w:rPr>
                <w:rFonts w:ascii="Calibri" w:hAnsi="Calibri"/>
                <w:sz w:val="22"/>
              </w:rPr>
              <w:t>Medium</w:t>
            </w:r>
          </w:p>
        </w:tc>
      </w:tr>
      <w:tr>
        <w:tc>
          <w:tcPr>
            <w:tcW w:type="dxa" w:w="1440"/>
          </w:tcPr>
          <w:p>
            <w:r>
              <w:rPr>
                <w:rFonts w:ascii="Calibri" w:hAnsi="Calibri"/>
                <w:sz w:val="22"/>
              </w:rPr>
              <w:t>BetMGM</w:t>
            </w:r>
          </w:p>
        </w:tc>
        <w:tc>
          <w:tcPr>
            <w:tcW w:type="dxa" w:w="1440"/>
          </w:tcPr>
          <w:p>
            <w:r>
              <w:rPr>
                <w:rFonts w:ascii="Calibri" w:hAnsi="Calibri"/>
                <w:sz w:val="22"/>
              </w:rPr>
              <w:t>Jul 19, 2026</w:t>
            </w:r>
          </w:p>
        </w:tc>
        <w:tc>
          <w:tcPr>
            <w:tcW w:type="dxa" w:w="1440"/>
          </w:tcPr>
          <w:p>
            <w:r>
              <w:rPr>
                <w:rFonts w:ascii="Calibri" w:hAnsi="Calibri"/>
                <w:sz w:val="22"/>
              </w:rPr>
              <w:t>World Cup volumes tripled vs. 2022; most-bet World Cup in MGM history</w:t>
            </w:r>
          </w:p>
        </w:tc>
        <w:tc>
          <w:tcPr>
            <w:tcW w:type="dxa" w:w="1440"/>
          </w:tcPr>
          <w:p>
            <w:r>
              <w:rPr>
                <w:rFonts w:ascii="Calibri" w:hAnsi="Calibri"/>
                <w:sz w:val="22"/>
              </w:rPr>
              <w:t>BetMGM Revenue / EBITDA</w:t>
            </w:r>
          </w:p>
        </w:tc>
        <w:tc>
          <w:tcPr>
            <w:tcW w:type="dxa" w:w="1440"/>
          </w:tcPr>
          <w:p>
            <w:r>
              <w:rPr>
                <w:rFonts w:ascii="Calibri" w:hAnsi="Calibri"/>
                <w:b/>
                <w:color w:val="30A46C"/>
                <w:sz w:val="22"/>
              </w:rPr>
              <w:t>Positive</w:t>
            </w:r>
          </w:p>
        </w:tc>
        <w:tc>
          <w:tcPr>
            <w:tcW w:type="dxa" w:w="1440"/>
          </w:tcPr>
          <w:p>
            <w:r>
              <w:rPr>
                <w:rFonts w:ascii="Calibri" w:hAnsi="Calibri"/>
                <w:sz w:val="22"/>
              </w:rPr>
              <w:t>High (volume); Medium (EBITDA)</w:t>
            </w:r>
          </w:p>
        </w:tc>
      </w:tr>
      <w:tr>
        <w:tc>
          <w:tcPr>
            <w:tcW w:type="dxa" w:w="1440"/>
          </w:tcPr>
          <w:p>
            <w:r>
              <w:rPr>
                <w:rFonts w:ascii="Calibri" w:hAnsi="Calibri"/>
                <w:sz w:val="22"/>
              </w:rPr>
              <w:t>WYNN</w:t>
            </w:r>
          </w:p>
        </w:tc>
        <w:tc>
          <w:tcPr>
            <w:tcW w:type="dxa" w:w="1440"/>
          </w:tcPr>
          <w:p>
            <w:r>
              <w:rPr>
                <w:rFonts w:ascii="Calibri" w:hAnsi="Calibri"/>
                <w:sz w:val="22"/>
              </w:rPr>
              <w:t>Jul 22, 2026</w:t>
            </w:r>
          </w:p>
        </w:tc>
        <w:tc>
          <w:tcPr>
            <w:tcW w:type="dxa" w:w="1440"/>
          </w:tcPr>
          <w:p>
            <w:r>
              <w:rPr>
                <w:rFonts w:ascii="Calibri" w:hAnsi="Calibri"/>
                <w:sz w:val="22"/>
              </w:rPr>
              <w:t>Cotai land concession amended for expansion — rising competitive investment in Macau premium mass</w:t>
            </w:r>
          </w:p>
        </w:tc>
        <w:tc>
          <w:tcPr>
            <w:tcW w:type="dxa" w:w="1440"/>
          </w:tcPr>
          <w:p>
            <w:r>
              <w:rPr>
                <w:rFonts w:ascii="Calibri" w:hAnsi="Calibri"/>
                <w:sz w:val="22"/>
              </w:rPr>
              <w:t>MGM China (medium-term)</w:t>
            </w:r>
          </w:p>
        </w:tc>
        <w:tc>
          <w:tcPr>
            <w:tcW w:type="dxa" w:w="1440"/>
          </w:tcPr>
          <w:p>
            <w:r>
              <w:rPr>
                <w:rFonts w:ascii="Calibri" w:hAnsi="Calibri"/>
                <w:b/>
                <w:color w:val="002FA7"/>
                <w:sz w:val="22"/>
              </w:rPr>
              <w:t>Neutral / Negative (LT)</w:t>
            </w:r>
          </w:p>
        </w:tc>
        <w:tc>
          <w:tcPr>
            <w:tcW w:type="dxa" w:w="1440"/>
          </w:tcPr>
          <w:p>
            <w:r>
              <w:rPr>
                <w:rFonts w:ascii="Calibri" w:hAnsi="Calibri"/>
                <w:sz w:val="22"/>
              </w:rPr>
              <w:t>Low (Q2 impact)</w:t>
            </w:r>
          </w:p>
        </w:tc>
      </w:tr>
      <w:tr>
        <w:tc>
          <w:tcPr>
            <w:tcW w:type="dxa" w:w="1440"/>
          </w:tcPr>
          <w:p>
            <w:r>
              <w:rPr>
                <w:rFonts w:ascii="Calibri" w:hAnsi="Calibri"/>
                <w:sz w:val="22"/>
              </w:rPr>
              <w:t>CZR</w:t>
            </w:r>
          </w:p>
        </w:tc>
        <w:tc>
          <w:tcPr>
            <w:tcW w:type="dxa" w:w="1440"/>
          </w:tcPr>
          <w:p>
            <w:r>
              <w:rPr>
                <w:rFonts w:ascii="Calibri" w:hAnsi="Calibri"/>
                <w:sz w:val="22"/>
              </w:rPr>
              <w:t>May 28, 2026</w:t>
            </w:r>
          </w:p>
        </w:tc>
        <w:tc>
          <w:tcPr>
            <w:tcW w:type="dxa" w:w="1440"/>
          </w:tcPr>
          <w:p>
            <w:r>
              <w:rPr>
                <w:rFonts w:ascii="Calibri" w:hAnsi="Calibri"/>
                <w:sz w:val="22"/>
              </w:rPr>
              <w:t>Fertitta take-private at 49% premium validates private market casino valuations above public multiples</w:t>
            </w:r>
          </w:p>
        </w:tc>
        <w:tc>
          <w:tcPr>
            <w:tcW w:type="dxa" w:w="1440"/>
          </w:tcPr>
          <w:p>
            <w:r>
              <w:rPr>
                <w:rFonts w:ascii="Calibri" w:hAnsi="Calibri"/>
                <w:sz w:val="22"/>
              </w:rPr>
              <w:t>MGM Valuation / Deal</w:t>
            </w:r>
          </w:p>
        </w:tc>
        <w:tc>
          <w:tcPr>
            <w:tcW w:type="dxa" w:w="1440"/>
          </w:tcPr>
          <w:p>
            <w:r>
              <w:rPr>
                <w:rFonts w:ascii="Calibri" w:hAnsi="Calibri"/>
                <w:b/>
                <w:color w:val="30A46C"/>
                <w:sz w:val="22"/>
              </w:rPr>
              <w:t>Positive</w:t>
            </w:r>
          </w:p>
        </w:tc>
        <w:tc>
          <w:tcPr>
            <w:tcW w:type="dxa" w:w="1440"/>
          </w:tcPr>
          <w:p>
            <w:r>
              <w:rPr>
                <w:rFonts w:ascii="Calibri" w:hAnsi="Calibri"/>
                <w:sz w:val="22"/>
              </w:rPr>
              <w:t>High (valuation anchor)</w:t>
            </w:r>
          </w:p>
        </w:tc>
      </w:tr>
    </w:tbl>
    <w:p>
      <w:r>
        <w:rPr>
          <w:rFonts w:ascii="Calibri" w:hAnsi="Calibri"/>
          <w:b/>
          <w:color w:val="525866"/>
          <w:sz w:val="22"/>
        </w:rPr>
        <w:t xml:space="preserve">Read-Through Limitations: </w:t>
      </w:r>
      <w:r>
        <w:rPr>
          <w:rFonts w:ascii="Calibri" w:hAnsi="Calibri"/>
          <w:i/>
          <w:color w:val="525866"/>
          <w:sz w:val="22"/>
        </w:rPr>
        <w:t>(1) LVS has no Las Vegas Strip operations — its commentary provides no read-through for MGM's Las Vegas segment. (2) Caesars and Red Rock Resorts (RRR) have not yet reported Q2 2026 earnings as of July 27, 2026 — no Q2 operating commentary is available from these peers. (3) VICI Properties (REIT landlord) has not yet reported Q2 2026 — no read-through on rent coverage or tenant health is available. (4) BetMGM volume data is self-reported by MGM/BetMGM and has not been independently verified by a peer operator. (5) Hold rates are inherently volatile and property-specific — LVS's hold miss does not guarantee MGM China experienced the same magnitude of impact.</w:t>
      </w:r>
    </w:p>
    <w:p>
      <w:r>
        <w:br w:type="page"/>
      </w:r>
    </w:p>
    <w:p>
      <w:pPr>
        <w:pStyle w:val="Heading2"/>
      </w:pPr>
      <w:r>
        <w:rPr>
          <w:rFonts w:ascii="Calibri" w:hAnsi="Calibri"/>
          <w:b/>
          <w:color w:val="3B4259"/>
          <w:sz w:val="28"/>
        </w:rPr>
        <w:t>Appendix: Key Risks to Watch</w:t>
      </w:r>
    </w:p>
    <w:p>
      <w:pPr>
        <w:pStyle w:val="ListBullet"/>
        <w:ind w:left="360" w:hanging="360"/>
      </w:pPr>
      <w:r>
        <w:rPr>
          <w:rFonts w:ascii="Calibri" w:hAnsi="Calibri"/>
          <w:b/>
          <w:color w:val="525866"/>
          <w:sz w:val="22"/>
        </w:rPr>
        <w:t>Macau Hold Volatility:</w:t>
      </w:r>
      <w:r>
        <w:rPr>
          <w:rFonts w:ascii="Calibri" w:hAnsi="Calibri"/>
          <w:color w:val="525866"/>
          <w:sz w:val="22"/>
        </w:rPr>
        <w:t xml:space="preserve"> LVS's Q2 hold miss was the largest in Macau history. If MGM China experienced similar hold rates, Q2 EBITDAR could be $30–$60M below consensus. This is the single largest fundamental risk to the Q2 print.</w:t>
      </w:r>
    </w:p>
    <w:p>
      <w:pPr>
        <w:pStyle w:val="ListBullet"/>
        <w:ind w:left="360" w:hanging="360"/>
      </w:pPr>
      <w:r>
        <w:rPr>
          <w:rFonts w:ascii="Calibri" w:hAnsi="Calibri"/>
          <w:b/>
          <w:color w:val="525866"/>
          <w:sz w:val="22"/>
        </w:rPr>
        <w:t>Self-Insurance / Litigation Costs:</w:t>
      </w:r>
      <w:r>
        <w:rPr>
          <w:rFonts w:ascii="Calibri" w:hAnsi="Calibri"/>
          <w:color w:val="525866"/>
          <w:sz w:val="22"/>
        </w:rPr>
        <w:t xml:space="preserve"> Q1 2026 included a $46M combined self-insurance headwind (Las Vegas + Regional). Management called it a one-time item, but if litigation costs remain elevated in Q2, EBITDA could again disappoint.</w:t>
      </w:r>
    </w:p>
    <w:p>
      <w:pPr>
        <w:pStyle w:val="ListBullet"/>
        <w:ind w:left="360" w:hanging="360"/>
      </w:pPr>
      <w:r>
        <w:rPr>
          <w:rFonts w:ascii="Calibri" w:hAnsi="Calibri"/>
          <w:b/>
          <w:color w:val="525866"/>
          <w:sz w:val="22"/>
        </w:rPr>
        <w:t>BetMGM Revenue vs. EBITDA Divergence:</w:t>
      </w:r>
      <w:r>
        <w:rPr>
          <w:rFonts w:ascii="Calibri" w:hAnsi="Calibri"/>
          <w:color w:val="525866"/>
          <w:sz w:val="22"/>
        </w:rPr>
        <w:t xml:space="preserve"> Record World Cup volumes are positive for revenue, but player-friendly results and competitive promotional spend could compress EBITDA. The Q1 call flagged BetMGM revenue guidance reduction while maintaining EBITDA guidance — the Q2 print will test whether this balance holds.</w:t>
      </w:r>
    </w:p>
    <w:p>
      <w:pPr>
        <w:pStyle w:val="ListBullet"/>
        <w:ind w:left="360" w:hanging="360"/>
      </w:pPr>
      <w:r>
        <w:rPr>
          <w:rFonts w:ascii="Calibri" w:hAnsi="Calibri"/>
          <w:b/>
          <w:color w:val="525866"/>
          <w:sz w:val="22"/>
        </w:rPr>
        <w:t>Take-Private Deal Uncertainty:</w:t>
      </w:r>
      <w:r>
        <w:rPr>
          <w:rFonts w:ascii="Calibri" w:hAnsi="Calibri"/>
          <w:color w:val="525866"/>
          <w:sz w:val="22"/>
        </w:rPr>
        <w:t xml:space="preserve"> The PPLI / Barry Diller bid at $48.30 has created a floor but also a ceiling. If the deal falls apart or is rejected, the stock could re-rate sharply lower toward standalone intrinsic value. Management commentary on deal status will be closely watched.</w:t>
      </w:r>
    </w:p>
    <w:p>
      <w:pPr>
        <w:pStyle w:val="ListBullet"/>
        <w:ind w:left="360" w:hanging="360"/>
      </w:pPr>
      <w:r>
        <w:rPr>
          <w:rFonts w:ascii="Calibri" w:hAnsi="Calibri"/>
          <w:b/>
          <w:color w:val="525866"/>
          <w:sz w:val="22"/>
        </w:rPr>
        <w:t>Las Vegas Midweek Softness:</w:t>
      </w:r>
      <w:r>
        <w:rPr>
          <w:rFonts w:ascii="Calibri" w:hAnsi="Calibri"/>
          <w:color w:val="525866"/>
          <w:sz w:val="22"/>
        </w:rPr>
        <w:t xml:space="preserve"> Luxor and Excalibur (value properties, ~6% of EBITDA) continue to face midweek challenges. The all-inclusive program is early-stage. International visitation (Canada down 30–40%) remains a headwind.</w:t>
      </w:r>
    </w:p>
    <w:p>
      <w:pPr>
        <w:pStyle w:val="ListBullet"/>
        <w:ind w:left="360" w:hanging="360"/>
      </w:pPr>
      <w:r>
        <w:rPr>
          <w:rFonts w:ascii="Calibri" w:hAnsi="Calibri"/>
          <w:b/>
          <w:color w:val="525866"/>
          <w:sz w:val="22"/>
        </w:rPr>
        <w:t>World Cup Impact on Las Vegas:</w:t>
      </w:r>
      <w:r>
        <w:rPr>
          <w:rFonts w:ascii="Calibri" w:hAnsi="Calibri"/>
          <w:color w:val="525866"/>
          <w:sz w:val="22"/>
        </w:rPr>
        <w:t xml:space="preserve"> The World Cup may have diverted some Las Vegas leisure visitors to watch games at home or in other venues during June. This is a potential modest headwind to Las Vegas Strip non-gaming revenue in Q2.</w:t>
      </w:r>
    </w:p>
    <w:p>
      <w:r>
        <w:rPr>
          <w:rFonts w:ascii="Calibri" w:hAnsi="Calibri"/>
          <w:b/>
          <w:color w:val="525866"/>
          <w:sz w:val="22"/>
        </w:rPr>
        <w:t xml:space="preserve">Disclosures: </w:t>
      </w:r>
      <w:r>
        <w:rPr>
          <w:rFonts w:ascii="Calibri" w:hAnsi="Calibri"/>
          <w:i/>
          <w:color w:val="525866"/>
          <w:sz w:val="22"/>
        </w:rPr>
        <w:t>All financial data sourced from Visible Alpha Consensus and Actuals Database, SEC Form 4 Filings, and company earnings releases/transcripts. Consensus estimates as of July 27, 2026. This document is prepared for informational purposes only and does not constitute investment advice.</w:t>
      </w:r>
    </w:p>
    <w:sectPr w:rsidR="00FC693F" w:rsidRPr="0006063C" w:rsidSect="00034616">
      <w:headerReference w:type="default" r:id="rId9"/>
      <w:footerReference w:type="default" r:id="rId10"/>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