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MLM (Martin Marietta Materials) to build an earnings preview. Let me start gathering data.Let me read the most recent earnings materials (Q1 2026) and the prior-year Q2 for comparison.Now let me get the prior-year Q2 (the comp) and recent stock/news context.Let me check recent news and analyst expectations for the upcoming print.Important development: MLM secured $1.5B financing for a "Lhoist acquisition" on July 15. Let me dig into that and check for the announcement details.The headline story is the $13.5B Lhoist North America acquisition announced June 29. Let me read the announcement details and the Q2 earnings call date press release.I have strong material. Let me do a quick check for any Street consensus figures for the quarter.# Martin Marietta Materials (MLM) — Q2 2026 Earnings Preview</w:t>
      </w:r>
    </w:p>
    <w:bookmarkStart w:id="9" w:name="X9e579c011a29c9c0c296c57a895636f20580b9f"/>
    <w:p>
      <w:pPr>
        <w:pStyle w:val="Heading3"/>
      </w:pPr>
      <w:r>
        <w:t xml:space="preserve">Reports Thursday, July 30, 2026 (before open); call 10:00 a.m. ET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This is a print that will likely be overshadowed by strategy, not the quarter. MLM enters the report riding a strong Q1 and a favorable aggregates demand narrative, but the tape is dominated by the pending</w:t>
      </w:r>
      <w:r>
        <w:t xml:space="preserve"> </w:t>
      </w:r>
      <w:r>
        <w:rPr>
          <w:b/>
          <w:bCs/>
        </w:rPr>
        <w:t xml:space="preserve">$13.5 billion combination with Lhoist North America (LNA)</w:t>
      </w:r>
      <w:r>
        <w:t xml:space="preserve"> </w:t>
      </w:r>
      <w:r>
        <w:t xml:space="preserve">announced June 29 — the largest and most transformational deal in the company's history. Expect the call to be as much about LNA integration, financing, and leverage as about Q2 volumes and pricing. A</w:t>
      </w:r>
      <w:r>
        <w:t xml:space="preserve"> </w:t>
      </w:r>
      <w:r>
        <w:rPr>
          <w:b/>
          <w:bCs/>
        </w:rPr>
        <w:t xml:space="preserve">midyear guidance raise is the base case</w:t>
      </w:r>
      <w:r>
        <w:t xml:space="preserve">, but a soft-weather read-through from peers is the wildcard.</w:t>
      </w:r>
    </w:p>
    <w:p>
      <w:r>
        <w:pict>
          <v:rect style="width:0;height:1.5pt" o:hralign="center" o:hrstd="t" o:hr="t"/>
        </w:pict>
      </w:r>
    </w:p>
    <w:bookmarkEnd w:id="10"/>
    <w:bookmarkStart w:id="11" w:name="X7c4ce02c94157d079ce5ce8b3ace4a8d4c5ba1d"/>
    <w:p>
      <w:pPr>
        <w:pStyle w:val="Heading2"/>
      </w:pPr>
      <w:r>
        <w:t xml:space="preserve">1. What actually happened in the quarter (what to watch in the numbers)</w:t>
      </w:r>
    </w:p>
    <w:p>
      <w:pPr>
        <w:pStyle w:val="FirstParagraph"/>
      </w:pPr>
      <w:r>
        <w:rPr>
          <w:b/>
          <w:bCs/>
        </w:rPr>
        <w:t xml:space="preserve">Comparability is messy this quarter — read the recast comp, not the headline.</w:t>
      </w:r>
      <w:r>
        <w:t xml:space="preserve"> </w:t>
      </w:r>
      <w:r>
        <w:t xml:space="preserve">Following the February 23 Quikrete asset exchange, MLM now reports on a</w:t>
      </w:r>
      <w:r>
        <w:t xml:space="preserve"> </w:t>
      </w:r>
      <w:r>
        <w:rPr>
          <w:b/>
          <w:bCs/>
        </w:rPr>
        <w:t xml:space="preserve">continuing-operations</w:t>
      </w:r>
      <w:r>
        <w:t xml:space="preserve"> </w:t>
      </w:r>
      <w:r>
        <w:t xml:space="preserve">basis that excludes the divested Midlothian cement plant, cement terminals and Texas ready-mix. The prior-year Q2 2025</w:t>
      </w:r>
      <w:r>
        <w:t xml:space="preserve"> </w:t>
      </w:r>
      <w:r>
        <w:rPr>
          <w:i/>
          <w:iCs/>
        </w:rPr>
        <w:t xml:space="preserve">as originally reported</w:t>
      </w:r>
      <w:r>
        <w:t xml:space="preserve"> </w:t>
      </w:r>
      <w:r>
        <w:t xml:space="preserve">was Revenue $1,811M, Adjusted EBITDA $630M, EPS $5.43, aggregates shipments 52.7M tons at $23.21/ton ASP, and record aggregates gross profit per ton of $8.16.</w:t>
      </w:r>
      <w:r>
        <w:t xml:space="preserve"> </w:t>
      </w:r>
      <w:r>
        <w:rPr>
          <w:b/>
          <w:bCs/>
        </w:rPr>
        <w:t xml:space="preserve">The continuing-ops recast will be materially lower</w:t>
      </w:r>
      <w:r>
        <w:t xml:space="preserve">, so year-over-year deltas on the recast basis are what matter.</w:t>
      </w:r>
    </w:p>
    <w:p>
      <w:pPr>
        <w:pStyle w:val="BodyText"/>
      </w:pPr>
      <w:r>
        <w:t xml:space="preserve">Segments are also new: MLM now reports</w:t>
      </w:r>
      <w:r>
        <w:t xml:space="preserve"> </w:t>
      </w:r>
      <w:r>
        <w:rPr>
          <w:b/>
          <w:bCs/>
        </w:rPr>
        <w:t xml:space="preserve">East Group</w:t>
      </w:r>
      <w:r>
        <w:t xml:space="preserve"> </w:t>
      </w:r>
      <w:r>
        <w:t xml:space="preserve">(East + Southwest divisions) and</w:t>
      </w:r>
      <w:r>
        <w:t xml:space="preserve"> </w:t>
      </w:r>
      <w:r>
        <w:rPr>
          <w:b/>
          <w:bCs/>
        </w:rPr>
        <w:t xml:space="preserve">West Group</w:t>
      </w:r>
      <w:r>
        <w:t xml:space="preserve"> </w:t>
      </w:r>
      <w:r>
        <w:t xml:space="preserve">(Central + West divisions).</w:t>
      </w:r>
    </w:p>
    <w:p>
      <w:pPr>
        <w:pStyle w:val="BodyText"/>
      </w:pPr>
      <w:r>
        <w:t xml:space="preserve">Key building blocks management flagged on the Q1 call for the Q2 print: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Volumes trending to the high end.</w:t>
      </w:r>
      <w:r>
        <w:t xml:space="preserve"> </w:t>
      </w:r>
      <w:r>
        <w:t xml:space="preserve">Q1 organic aggregates shipments grew ~7.2%, well above guidance, and management said April "came out of the box very attractively," suggesting full-year volume toward the top of the +11%/+12%/+13% (total) and +1%/+2%/+3% (organic) guide. New Frontier Materials (~8.5M tons aggregates + ~1.5M tons asphalt annually)</w:t>
      </w:r>
      <w:r>
        <w:t xml:space="preserve"> </w:t>
      </w:r>
      <w:r>
        <w:rPr>
          <w:b/>
          <w:bCs/>
        </w:rPr>
        <w:t xml:space="preserve">closed May 15</w:t>
      </w:r>
      <w:r>
        <w:t xml:space="preserve">, so Q2 gets ~1.5 months of incremental M&amp;A volume on top of a full quarter of Quikrete (~20M tons/yr acquired).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Diesel is a defined Q2 headwind.</w:t>
      </w:r>
      <w:r>
        <w:t xml:space="preserve"> </w:t>
      </w:r>
      <w:r>
        <w:t xml:space="preserve">Management sized **</w:t>
      </w:r>
      <m:oMath>
        <m:r>
          <m:t>20</m:t>
        </m:r>
        <m:r>
          <m:rPr>
            <m:sty m:val="p"/>
          </m:rPr>
          <m:t>–</m:t>
        </m:r>
        <m:r>
          <m:t>25</m:t>
        </m:r>
        <m:r>
          <m:t>M</m:t>
        </m:r>
        <m:r>
          <m:t>o</m:t>
        </m:r>
        <m:r>
          <m:t>f</m:t>
        </m:r>
        <m:r>
          <m:t>d</m:t>
        </m:r>
        <m:r>
          <m:t>i</m:t>
        </m:r>
        <m:r>
          <m:t>e</m:t>
        </m:r>
        <m:r>
          <m:t>s</m:t>
        </m:r>
        <m:r>
          <m:t>e</m:t>
        </m:r>
        <m:r>
          <m:t>l</m:t>
        </m:r>
        <m:r>
          <m:t>d</m:t>
        </m:r>
        <m:r>
          <m:t>r</m:t>
        </m:r>
        <m:r>
          <m:t>a</m:t>
        </m:r>
        <m:r>
          <m:t>g</m:t>
        </m:r>
        <m:r>
          <m:t>l</m:t>
        </m:r>
        <m:r>
          <m:t>a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f</m:t>
        </m:r>
        <m:r>
          <m:t>i</m:t>
        </m:r>
        <m:r>
          <m:t>c</m:t>
        </m:r>
        <m:r>
          <m:t>a</m:t>
        </m:r>
        <m:r>
          <m:t>l</m:t>
        </m:r>
        <m:r>
          <m:t>l</m:t>
        </m:r>
        <m:r>
          <m:t>y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o</m:t>
        </m:r>
        <m:r>
          <m:t>f</m:t>
        </m:r>
        <m:r>
          <m:t> </m:t>
        </m:r>
      </m:oMath>
      <w:r>
        <w:t xml:space="preserve">36M full-year in aggregates / ~$50M company-wide), assuming diesel peaks in Q2 then moderates. Watch whether Gulf/Iran-related oil spikes (see macro below) pushed this higher.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Purchase-accounting noise persists.</w:t>
      </w:r>
      <w:r>
        <w:t xml:space="preserve"> </w:t>
      </w:r>
      <w:r>
        <w:t xml:space="preserve">~</w:t>
      </w:r>
      <w:r>
        <w:rPr>
          <w:b/>
          <w:bCs/>
        </w:rPr>
        <w:t xml:space="preserve">$44M of Quikrete inventory step-up</w:t>
      </w:r>
      <w:r>
        <w:t xml:space="preserve"> </w:t>
      </w:r>
      <w:r>
        <w:t xml:space="preserve">was expected to be "chewed through" in Q2 — a drag on reported gross profit but an add-back to Adjusted EBITDA. Don't confuse the optical gross-margin hit with underlying performance.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ASP/geographic mix.</w:t>
      </w:r>
      <w:r>
        <w:t xml:space="preserve"> </w:t>
      </w:r>
      <w:r>
        <w:t xml:space="preserve">Q1 ASP was flat (+/-0%) as huge ~20%+ organic volume growth in lower-price Central/West divisions diluted mix. Management said the higher-ASP East would "catch up" in Q2, reversing the mix headwind — a key thing to verify.</w:t>
      </w:r>
    </w:p>
    <w:p>
      <w:pPr>
        <w:pStyle w:val="FirstParagraph"/>
      </w:pPr>
      <w:r>
        <w:rPr>
          <w:b/>
          <w:bCs/>
        </w:rPr>
        <w:t xml:space="preserve">Net:</w:t>
      </w:r>
      <w:r>
        <w:t xml:space="preserve"> </w:t>
      </w:r>
      <w:r>
        <w:t xml:space="preserve">underlying aggregates volume and price/cost spread should look healthy, but reported gross profit and EPS carry acquisition-accounting and diesel noise. Focus on</w:t>
      </w:r>
      <w:r>
        <w:t xml:space="preserve"> </w:t>
      </w:r>
      <w:r>
        <w:rPr>
          <w:b/>
          <w:bCs/>
        </w:rPr>
        <w:t xml:space="preserve">organic ASP (guided ~+5%), organic cost-per-ton trends, and Adjusted EBITDA/EPS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Start w:id="12" w:name="X939c76404faae1e4e4db88c91f5532873d02d1e"/>
    <w:p>
      <w:pPr>
        <w:pStyle w:val="Heading2"/>
      </w:pPr>
      <w:r>
        <w:t xml:space="preserve">2. The dominant story: the Lhoist North America acquisition</w:t>
      </w:r>
    </w:p>
    <w:p>
      <w:pPr>
        <w:pStyle w:val="FirstParagraph"/>
      </w:pPr>
      <w:r>
        <w:t xml:space="preserve">Announced June 29, this is the pivot point for the stock and will drive most Q&amp;A.</w:t>
      </w:r>
    </w:p>
    <w:p>
      <w:pPr>
        <w:pStyle w:val="BodyText"/>
      </w:pPr>
      <w:r>
        <w:rPr>
          <w:b/>
          <w:bCs/>
        </w:rPr>
        <w:t xml:space="preserve">Deal facts: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$13.5B enterprise value</w:t>
      </w:r>
      <w:r>
        <w:t xml:space="preserve">, ~</w:t>
      </w:r>
      <w:r>
        <w:rPr>
          <w:b/>
          <w:bCs/>
        </w:rPr>
        <w:t xml:space="preserve">15x</w:t>
      </w:r>
      <w:r>
        <w:t xml:space="preserve"> </w:t>
      </w:r>
      <w:r>
        <w:t xml:space="preserve">2025 Adjusted EBITDA including run-rate synergies.</w:t>
      </w:r>
    </w:p>
    <w:p>
      <w:pPr>
        <w:pStyle w:val="Compact"/>
        <w:numPr>
          <w:ilvl w:val="0"/>
          <w:numId w:val="1002"/>
        </w:numPr>
      </w:pPr>
      <w:r>
        <w:t xml:space="preserve">LNA generated</w:t>
      </w:r>
      <w:r>
        <w:t xml:space="preserve"> </w:t>
      </w:r>
      <w:r>
        <w:rPr>
          <w:b/>
          <w:bCs/>
        </w:rPr>
        <w:t xml:space="preserve">$1.8B gross sales / $786M Adjusted EBITDA</w:t>
      </w:r>
      <w:r>
        <w:t xml:space="preserve"> </w:t>
      </w:r>
      <w:r>
        <w:t xml:space="preserve">in 2025 — a lime, dolomitic lime and industrial-minerals producer.</w:t>
      </w:r>
    </w:p>
    <w:p>
      <w:pPr>
        <w:pStyle w:val="Compact"/>
        <w:numPr>
          <w:ilvl w:val="0"/>
          <w:numId w:val="1002"/>
        </w:numPr>
      </w:pPr>
      <w:r>
        <w:t xml:space="preserve">Consideration:</w:t>
      </w:r>
      <w:r>
        <w:t xml:space="preserve"> </w:t>
      </w:r>
      <w:r>
        <w:rPr>
          <w:b/>
          <w:bCs/>
        </w:rPr>
        <w:t xml:space="preserve">$7.0B cash + $6.5B MLM stock.</w:t>
      </w:r>
      <w:r>
        <w:t xml:space="preserve"> </w:t>
      </w:r>
      <w:r>
        <w:t xml:space="preserve">The Berghmans family will own</w:t>
      </w:r>
      <w:r>
        <w:t xml:space="preserve"> </w:t>
      </w:r>
      <w:r>
        <w:rPr>
          <w:b/>
          <w:bCs/>
        </w:rPr>
        <w:t xml:space="preserve">~15% of MLM</w:t>
      </w:r>
      <w:r>
        <w:t xml:space="preserve"> </w:t>
      </w:r>
      <w:r>
        <w:t xml:space="preserve">fully diluted and gets</w:t>
      </w:r>
      <w:r>
        <w:t xml:space="preserve"> </w:t>
      </w:r>
      <w:r>
        <w:rPr>
          <w:b/>
          <w:bCs/>
        </w:rPr>
        <w:t xml:space="preserve">one board seat + one observer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Assets:</w:t>
      </w:r>
      <w:r>
        <w:t xml:space="preserve"> </w:t>
      </w:r>
      <w:r>
        <w:rPr>
          <w:b/>
          <w:bCs/>
        </w:rPr>
        <w:t xml:space="preserve">20 quarries/production facilities, 45 distribution terminals, 2B+ tons of reserves (200+ years of life)</w:t>
      </w:r>
      <w:r>
        <w:t xml:space="preserve">, concentrated in Sun Belt/Southeast/Southwest corridors.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~$85M run-rate cost synergies</w:t>
      </w:r>
      <w:r>
        <w:t xml:space="preserve">; management calls it accretive to earnings and margins in the first full year (ex one-time/purchase accounting).</w:t>
      </w:r>
    </w:p>
    <w:p>
      <w:pPr>
        <w:pStyle w:val="Compact"/>
        <w:numPr>
          <w:ilvl w:val="0"/>
          <w:numId w:val="1002"/>
        </w:numPr>
      </w:pPr>
      <w:r>
        <w:t xml:space="preserve">Financing is set: MLM secured a</w:t>
      </w:r>
      <w:r>
        <w:t xml:space="preserve"> </w:t>
      </w:r>
      <w:r>
        <w:rPr>
          <w:b/>
          <w:bCs/>
        </w:rPr>
        <w:t xml:space="preserve">$1.5B three-year term loan</w:t>
      </w:r>
      <w:r>
        <w:t xml:space="preserve"> </w:t>
      </w:r>
      <w:r>
        <w:t xml:space="preserve">(July 15) and amended its revolver to allow a leverage ratio up to</w:t>
      </w:r>
      <w:r>
        <w:t xml:space="preserve"> </w:t>
      </w:r>
      <w:r>
        <w:rPr>
          <w:b/>
          <w:bCs/>
        </w:rPr>
        <w:t xml:space="preserve">4.75x</w:t>
      </w:r>
      <w:r>
        <w:t xml:space="preserve"> </w:t>
      </w:r>
      <w:r>
        <w:t xml:space="preserve">post-close.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Combined net leverage ~3.7x at close, targeted below 2.5x within 24 months</w:t>
      </w:r>
      <w:r>
        <w:t xml:space="preserve"> </w:t>
      </w:r>
      <w:r>
        <w:t xml:space="preserve">via free cash flow.</w:t>
      </w:r>
    </w:p>
    <w:p>
      <w:pPr>
        <w:pStyle w:val="FirstParagraph"/>
      </w:pPr>
      <w:r>
        <w:rPr>
          <w:b/>
          <w:bCs/>
        </w:rPr>
        <w:t xml:space="preserve">Why it matters / debates to watch: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Strategy fit vs. dilution.</w:t>
      </w:r>
      <w:r>
        <w:t xml:space="preserve"> </w:t>
      </w:r>
      <w:r>
        <w:t xml:space="preserve">It advances the SOAR 2030 goal of building an "aggregates-like," through-cycle Specialties platform, but it's a large, partly stock-funded deal that pushes leverage up meaningfully and issues ~15% new equity. The market's initial reaction was cautious —</w:t>
      </w:r>
      <w:r>
        <w:t xml:space="preserve"> </w:t>
      </w:r>
      <w:r>
        <w:rPr>
          <w:b/>
          <w:bCs/>
        </w:rPr>
        <w:t xml:space="preserve">MLM fell ~6% on announcement day</w:t>
      </w:r>
      <w:r>
        <w:t xml:space="preserve"> </w:t>
      </w:r>
      <w:r>
        <w:t xml:space="preserve">(from ~</w:t>
      </w:r>
      <m:oMath>
        <m:r>
          <m:t>616</m:t>
        </m:r>
        <m:r>
          <m:t>o</m:t>
        </m:r>
        <m:r>
          <m:t>n</m:t>
        </m:r>
        <m:r>
          <m:t>6</m:t>
        </m:r>
        <m:r>
          <m:rPr>
            <m:sty m:val="p"/>
          </m:rPr>
          <m:t>/</m:t>
        </m:r>
        <m:r>
          <m:t>26</m:t>
        </m:r>
        <m:r>
          <m:t>t</m:t>
        </m:r>
        <m:r>
          <m:t>o</m:t>
        </m:r>
        <m:r>
          <m:t> </m:t>
        </m:r>
      </m:oMath>
      <w:r>
        <w:t xml:space="preserve">581 on 6/29).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Questions for the call:</w:t>
      </w:r>
      <w:r>
        <w:t xml:space="preserve"> </w:t>
      </w:r>
      <w:r>
        <w:t xml:space="preserve">regulatory timing/path to a 2H close, deleveraging cadence, integration/synergy confidence, exposure to</w:t>
      </w:r>
      <w:r>
        <w:t xml:space="preserve"> </w:t>
      </w:r>
      <w:r>
        <w:rPr>
          <w:b/>
          <w:bCs/>
        </w:rPr>
        <w:t xml:space="preserve">steel-market demand</w:t>
      </w:r>
      <w:r>
        <w:t xml:space="preserve"> </w:t>
      </w:r>
      <w:r>
        <w:t xml:space="preserve">for lime (a cyclical end market), and whether the deal changes buyback/M&amp;A capacity in the near term. Note guidance still</w:t>
      </w:r>
      <w:r>
        <w:t xml:space="preserve"> </w:t>
      </w:r>
      <w:r>
        <w:rPr>
          <w:b/>
          <w:bCs/>
        </w:rPr>
        <w:t xml:space="preserve">excludes New Frontier and LNA contributions</w:t>
      </w:r>
      <w:r>
        <w:t xml:space="preserve"> </w:t>
      </w:r>
      <w:r>
        <w:t xml:space="preserve">until they close/are folded in.</w:t>
      </w:r>
    </w:p>
    <w:p>
      <w:r>
        <w:pict>
          <v:rect style="width:0;height:1.5pt" o:hralign="center" o:hrstd="t" o:hr="t"/>
        </w:pict>
      </w:r>
    </w:p>
    <w:bookmarkEnd w:id="12"/>
    <w:bookmarkStart w:id="13" w:name="X92601c43f3517c078c3ab214e1bfd35defd717d"/>
    <w:p>
      <w:pPr>
        <w:pStyle w:val="Heading2"/>
      </w:pPr>
      <w:r>
        <w:t xml:space="preserve">3. Guidance — a raise is the base case</w:t>
      </w:r>
    </w:p>
    <w:p>
      <w:pPr>
        <w:pStyle w:val="FirstParagraph"/>
      </w:pPr>
      <w:r>
        <w:t xml:space="preserve">MLM's stated practice is to</w:t>
      </w:r>
      <w:r>
        <w:t xml:space="preserve"> </w:t>
      </w:r>
      <w:r>
        <w:rPr>
          <w:b/>
          <w:bCs/>
        </w:rPr>
        <w:t xml:space="preserve">revisit guidance at midyear</w:t>
      </w:r>
      <w:r>
        <w:t xml:space="preserve"> </w:t>
      </w:r>
      <w:r>
        <w:t xml:space="preserve">(Q2), and on the Q1 call Ward Nye said he was "feeling pretty optimistic" about that reassessment. Current FY2026 continuing-ops guidance (set April 30):</w:t>
      </w:r>
      <w:r>
        <w:t xml:space="preserve"> </w:t>
      </w:r>
      <w:r>
        <w:rPr>
          <w:b/>
          <w:bCs/>
        </w:rPr>
        <w:t xml:space="preserve">Revenue ~</w:t>
      </w:r>
      <m:oMath>
        <m:r>
          <m:t>7.16</m:t>
        </m:r>
        <m:r>
          <m:t>B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 </m:t>
        </m:r>
      </m:oMath>
      <w:r>
        <w:rPr>
          <w:b/>
          <w:bCs/>
        </w:rPr>
        <w:t xml:space="preserve">2.43B, net earnings ~</w:t>
      </w:r>
      <m:oMath>
        <m:r>
          <m:t>1.115</m:t>
        </m:r>
        <m:r>
          <m:t>B</m:t>
        </m:r>
        <m:r>
          <m:rPr>
            <m:sty m:val="p"/>
          </m:rPr>
          <m:t>,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t> </m:t>
        </m:r>
      </m:oMath>
      <w:r>
        <w:rPr>
          <w:b/>
          <w:bCs/>
        </w:rPr>
        <w:t xml:space="preserve">575M, aggregates volume +12% / ASP +2.5% (organic +2% / +5%)</w:t>
      </w:r>
      <w:r>
        <w:t xml:space="preserve">. With Q1 Adjusted EBITDA of $364M already banked and April/May trends strong, watch for a raise driven by: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Volumes toward the high end</w:t>
      </w:r>
      <w:r>
        <w:t xml:space="preserve"> </w:t>
      </w:r>
      <w:r>
        <w:t xml:space="preserve">of the range;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Broad-based midyear price increases</w:t>
      </w:r>
      <w:r>
        <w:t xml:space="preserve"> </w:t>
      </w:r>
      <w:r>
        <w:t xml:space="preserve">(management expects wider realization than 2025, and is pushing mid-years in newly acquired Quikrete/New Frontier territories to lift below-average ASPs);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Network optimization / cost savings</w:t>
      </w:r>
      <w:r>
        <w:t xml:space="preserve"> </w:t>
      </w:r>
      <w:r>
        <w:t xml:space="preserve">(organic cost-per-ton was tracking below the implied ~3% guide);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New Frontier</w:t>
      </w:r>
      <w:r>
        <w:t xml:space="preserve"> </w:t>
      </w:r>
      <w:r>
        <w:t xml:space="preserve">now closed and includable.</w:t>
      </w:r>
    </w:p>
    <w:p>
      <w:pPr>
        <w:pStyle w:val="FirstParagraph"/>
      </w:pPr>
      <w:r>
        <w:t xml:space="preserve">The risk to a clean raise is weather (below). Any guidance that</w:t>
      </w:r>
      <w:r>
        <w:t xml:space="preserve"> </w:t>
      </w:r>
      <w:r>
        <w:rPr>
          <w:i/>
          <w:iCs/>
        </w:rPr>
        <w:t xml:space="preserve">doesn't</w:t>
      </w:r>
      <w:r>
        <w:t xml:space="preserve"> </w:t>
      </w:r>
      <w:r>
        <w:t xml:space="preserve">go up would be read negatively given the setup.</w:t>
      </w:r>
    </w:p>
    <w:p>
      <w:r>
        <w:pict>
          <v:rect style="width:0;height:1.5pt" o:hralign="center" o:hrstd="t" o:hr="t"/>
        </w:pict>
      </w:r>
    </w:p>
    <w:bookmarkEnd w:id="13"/>
    <w:bookmarkStart w:id="14" w:name="X501ce4d0ceb4335ab706d451eae053954a7e174"/>
    <w:p>
      <w:pPr>
        <w:pStyle w:val="Heading2"/>
      </w:pPr>
      <w:r>
        <w:t xml:space="preserve">4. Peer read-through &amp; macro backdrop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Vulcan Materials (VMC) — reported July 29 (day before MLM).</w:t>
      </w:r>
      <w:r>
        <w:t xml:space="preserve"> </w:t>
      </w:r>
      <w:r>
        <w:t xml:space="preserve">VMC</w:t>
      </w:r>
      <w:r>
        <w:t xml:space="preserve"> </w:t>
      </w:r>
      <w:r>
        <w:rPr>
          <w:b/>
          <w:bCs/>
        </w:rPr>
        <w:t xml:space="preserve">beat</w:t>
      </w:r>
      <w:r>
        <w:t xml:space="preserve">, with revenue +~3% to $2.16B and adjusted EPS $2.59 (vs $2.45 a year ago), and</w:t>
      </w:r>
      <w:r>
        <w:t xml:space="preserve"> </w:t>
      </w:r>
      <w:r>
        <w:rPr>
          <w:b/>
          <w:bCs/>
        </w:rPr>
        <w:t xml:space="preserve">reiterated</w:t>
      </w:r>
      <w:r>
        <w:t xml:space="preserve"> </w:t>
      </w:r>
      <w:r>
        <w:t xml:space="preserve">full-year EBITDA. Crucially, VMC said</w:t>
      </w:r>
      <w:r>
        <w:t xml:space="preserve"> </w:t>
      </w:r>
      <w:r>
        <w:rPr>
          <w:b/>
          <w:bCs/>
        </w:rPr>
        <w:t xml:space="preserve">aggregates shipments rose just ~1%</w:t>
      </w:r>
      <w:r>
        <w:t xml:space="preserve">, with</w:t>
      </w:r>
      <w:r>
        <w:t xml:space="preserve"> </w:t>
      </w:r>
      <w:r>
        <w:rPr>
          <w:b/>
          <w:bCs/>
        </w:rPr>
        <w:t xml:space="preserve">Texas and certain Southeastern markets hit by heavy May–June rainfall</w:t>
      </w:r>
      <w:r>
        <w:t xml:space="preserve">, and its non-aggregates segment hurt by higher asphalt costs.</w:t>
      </w:r>
      <w:r>
        <w:t xml:space="preserve"> </w:t>
      </w:r>
      <w:r>
        <w:rPr>
          <w:b/>
          <w:bCs/>
        </w:rPr>
        <w:t xml:space="preserve">This is the single most important read-through</w:t>
      </w:r>
      <w:r>
        <w:t xml:space="preserve">: MLM has heavy Texas/Southeast exposure, so wet weather may have tempered what started as a very strong April — potentially capping Q2 volume upside even as pricing holds.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Rates / demand mix.</w:t>
      </w:r>
      <w:r>
        <w:t xml:space="preserve"> </w:t>
      </w:r>
      <w:r>
        <w:t xml:space="preserve">The Fed delivered a</w:t>
      </w:r>
      <w:r>
        <w:t xml:space="preserve"> </w:t>
      </w:r>
      <w:r>
        <w:rPr>
          <w:b/>
          <w:bCs/>
        </w:rPr>
        <w:t xml:space="preserve">"hawkish hold" on July 29</w:t>
      </w:r>
      <w:r>
        <w:t xml:space="preserve">, leaving rates unchanged. This keeps MLM's interest-rate-sensitive end markets — residential and light non-residential — subdued, consistent with management's low-expectations stance. The offset remains</w:t>
      </w:r>
      <w:r>
        <w:t xml:space="preserve"> </w:t>
      </w:r>
      <w:r>
        <w:rPr>
          <w:b/>
          <w:bCs/>
        </w:rPr>
        <w:t xml:space="preserve">infrastructure (IIJA reauthorization on track), data centers, LNG and warehouse/distribution</w:t>
      </w:r>
      <w:r>
        <w:t xml:space="preserve">, which drove the Q1 beat (data centers +62%, warehousing +57% in Q1).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Energy costs.</w:t>
      </w:r>
      <w:r>
        <w:t xml:space="preserve"> </w:t>
      </w:r>
      <w:r>
        <w:t xml:space="preserve">Renewed Gulf/Iran tensions and higher oil into late July could pressure diesel and liquid asphalt costs beyond the guided Q2 range — worth monitoring in the cost bridge.</w:t>
      </w:r>
    </w:p>
    <w:p>
      <w:r>
        <w:pict>
          <v:rect style="width:0;height:1.5pt" o:hralign="center" o:hrstd="t" o:hr="t"/>
        </w:pict>
      </w:r>
    </w:p>
    <w:bookmarkEnd w:id="14"/>
    <w:bookmarkStart w:id="15" w:name="Xa41337a8e24ccac56ad0b051f965a5cdc818739"/>
    <w:p>
      <w:pPr>
        <w:pStyle w:val="Heading2"/>
      </w:pPr>
      <w:r>
        <w:t xml:space="preserve">5. Balance sheet &amp; capital allocation</w:t>
      </w:r>
    </w:p>
    <w:p>
      <w:pPr>
        <w:pStyle w:val="Compact"/>
        <w:numPr>
          <w:ilvl w:val="0"/>
          <w:numId w:val="1006"/>
        </w:numPr>
      </w:pPr>
      <w:r>
        <w:t xml:space="preserve">Exiting Q1:</w:t>
      </w:r>
      <w:r>
        <w:t xml:space="preserve"> </w:t>
      </w:r>
      <w:r>
        <w:rPr>
          <w:b/>
          <w:bCs/>
        </w:rPr>
        <w:t xml:space="preserve">$273M cash, $1.2B revolver capacity</w:t>
      </w:r>
      <w:r>
        <w:t xml:space="preserve">, and</w:t>
      </w:r>
      <w:r>
        <w:t xml:space="preserve"> </w:t>
      </w:r>
      <m:oMath>
        <m:r>
          <m:t>450</m:t>
        </m:r>
        <m:r>
          <m:t>M</m:t>
        </m:r>
        <m:r>
          <m:t>o</m:t>
        </m:r>
        <m:r>
          <m:t>f</m:t>
        </m:r>
        <m:r>
          <m:t>Q</m:t>
        </m:r>
        <m:r>
          <m:t>u</m:t>
        </m:r>
        <m:r>
          <m:t>i</m:t>
        </m:r>
        <m:r>
          <m:t>k</m:t>
        </m:r>
        <m:r>
          <m:t>r</m:t>
        </m:r>
        <m:r>
          <m:t>e</m:t>
        </m:r>
        <m:r>
          <m:t>t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p</m:t>
        </m:r>
        <m:r>
          <m:t>r</m:t>
        </m:r>
        <m:r>
          <m:t>o</m:t>
        </m:r>
        <m:r>
          <m:t>c</m:t>
        </m:r>
        <m:r>
          <m:t>e</m:t>
        </m:r>
        <m:r>
          <m:t>e</m:t>
        </m:r>
        <m:r>
          <m:t>d</m:t>
        </m:r>
        <m:r>
          <m:t>s</m:t>
        </m:r>
        <m:r>
          <m:t>t</m:t>
        </m:r>
        <m:r>
          <m:t>o</m:t>
        </m:r>
        <m:r>
          <m:t>r</m:t>
        </m:r>
        <m:r>
          <m:t>e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rPr>
            <m:sty m:val="p"/>
          </m:rPr>
          <m:t>.</m:t>
        </m:r>
        <m:r>
          <m:t>M</m:t>
        </m:r>
        <m:r>
          <m:t>L</m:t>
        </m:r>
        <m:r>
          <m:t>M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200M** of stock in Q1 (10.7M shares still authorized) and pays a growing dividend.</w:t>
      </w:r>
    </w:p>
    <w:p>
      <w:pPr>
        <w:pStyle w:val="Compact"/>
        <w:numPr>
          <w:ilvl w:val="0"/>
          <w:numId w:val="1006"/>
        </w:numPr>
      </w:pPr>
      <w:r>
        <w:t xml:space="preserve">Post-Lhoist, the priority shifts to</w:t>
      </w:r>
      <w:r>
        <w:t xml:space="preserve"> </w:t>
      </w:r>
      <w:r>
        <w:rPr>
          <w:b/>
          <w:bCs/>
        </w:rPr>
        <w:t xml:space="preserve">deleveraging</w:t>
      </w:r>
      <w:r>
        <w:t xml:space="preserve"> </w:t>
      </w:r>
      <w:r>
        <w:t xml:space="preserve">(3.7x → &lt;2.5x in 24 months), which likely</w:t>
      </w:r>
      <w:r>
        <w:t xml:space="preserve"> </w:t>
      </w:r>
      <w:r>
        <w:rPr>
          <w:b/>
          <w:bCs/>
        </w:rPr>
        <w:t xml:space="preserve">slows the buyback</w:t>
      </w:r>
      <w:r>
        <w:t xml:space="preserve"> </w:t>
      </w:r>
      <w:r>
        <w:t xml:space="preserve">near term. Expect questions on the pace of repurchases and whether the active bolt-on M&amp;A pipeline pauses while LNA is digested.</w:t>
      </w:r>
    </w:p>
    <w:p>
      <w:r>
        <w:pict>
          <v:rect style="width:0;height:1.5pt" o:hralign="center" o:hrstd="t" o:hr="t"/>
        </w:pict>
      </w:r>
    </w:p>
    <w:bookmarkEnd w:id="15"/>
    <w:bookmarkStart w:id="16" w:name="X53bc58c0c705c40575bc396aa1117df73cbc6f6"/>
    <w:p>
      <w:pPr>
        <w:pStyle w:val="Heading2"/>
      </w:pPr>
      <w:r>
        <w:t xml:space="preserve">6. Stock setup &amp; valuation</w:t>
      </w:r>
    </w:p>
    <w:p>
      <w:pPr>
        <w:pStyle w:val="Compact"/>
        <w:numPr>
          <w:ilvl w:val="0"/>
          <w:numId w:val="1007"/>
        </w:numPr>
      </w:pPr>
      <w:r>
        <w:t xml:space="preserve">MLM is **~</w:t>
      </w:r>
      <m:oMath>
        <m:r>
          <m:t>576</m:t>
        </m:r>
        <m:r>
          <m:rPr>
            <m:sty m:val="p"/>
          </m:rPr>
          <m:t>(</m:t>
        </m:r>
        <m:r>
          <m:t>7</m:t>
        </m:r>
        <m:r>
          <m:rPr>
            <m:sty m:val="p"/>
          </m:rPr>
          <m:t>/</m:t>
        </m:r>
        <m:r>
          <m:t>29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 </m:t>
        </m:r>
        <m:r>
          <m:t>9</m:t>
        </m:r>
      </m:oMath>
      <w:r>
        <w:t xml:space="preserve">634 at the start of January, and off its April/June highs near</w:t>
      </w:r>
      <w:r>
        <w:t xml:space="preserve"> </w:t>
      </w:r>
      <m:oMath>
        <m:r>
          <m:t>630</m:t>
        </m:r>
        <m:r>
          <m:rPr>
            <m:sty m:val="p"/>
          </m:rPr>
          <m:t>–</m:t>
        </m:r>
      </m:oMath>
      <w:r>
        <w:t xml:space="preserve">646. The stock has lagged partly on the mixed reception to the debt/equity-funded Lhoist deal.</w:t>
      </w:r>
    </w:p>
    <w:p>
      <w:pPr>
        <w:pStyle w:val="Compact"/>
        <w:numPr>
          <w:ilvl w:val="0"/>
          <w:numId w:val="1007"/>
        </w:numPr>
      </w:pPr>
      <w:r>
        <w:t xml:space="preserve">Because Quikrete accounting noise inflates the reported EPS "miss" optics (Q1 GAAP EPS fell to $1.31 but</w:t>
      </w:r>
      <w:r>
        <w:t xml:space="preserve"> </w:t>
      </w:r>
      <w:r>
        <w:rPr>
          <w:b/>
          <w:bCs/>
        </w:rPr>
        <w:t xml:space="preserve">adjusted EPS rose 14% to $1.93</w:t>
      </w:r>
      <w:r>
        <w:t xml:space="preserve">), the market will lean on</w:t>
      </w:r>
      <w:r>
        <w:t xml:space="preserve"> </w:t>
      </w:r>
      <w:r>
        <w:rPr>
          <w:b/>
          <w:bCs/>
        </w:rPr>
        <w:t xml:space="preserve">Adjusted EBITDA, adjusted EPS, organic price/cost spread, and the guidance revision</w:t>
      </w:r>
      <w:r>
        <w:t xml:space="preserve"> </w:t>
      </w:r>
      <w:r>
        <w:t xml:space="preserve">rather than GAAP headlines.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--what-would-move-the-stock"/>
    <w:p>
      <w:pPr>
        <w:pStyle w:val="Heading2"/>
      </w:pPr>
      <w:r>
        <w:t xml:space="preserve">Bottom line — what would move the stock</w:t>
      </w:r>
    </w:p>
    <w:p>
      <w:pPr>
        <w:pStyle w:val="FirstParagraph"/>
      </w:pPr>
      <w:r>
        <w:rPr>
          <w:b/>
          <w:bCs/>
        </w:rPr>
        <w:t xml:space="preserve">Bullish:</w:t>
      </w:r>
      <w:r>
        <w:t xml:space="preserve"> </w:t>
      </w:r>
      <w:r>
        <w:t xml:space="preserve">a midyear</w:t>
      </w:r>
      <w:r>
        <w:t xml:space="preserve"> </w:t>
      </w:r>
      <w:r>
        <w:rPr>
          <w:b/>
          <w:bCs/>
        </w:rPr>
        <w:t xml:space="preserve">guidance raise</w:t>
      </w:r>
      <w:r>
        <w:t xml:space="preserve">, evidence the</w:t>
      </w:r>
      <w:r>
        <w:t xml:space="preserve"> </w:t>
      </w:r>
      <w:r>
        <w:rPr>
          <w:b/>
          <w:bCs/>
        </w:rPr>
        <w:t xml:space="preserve">East-division ASP/mix reversal</w:t>
      </w:r>
      <w:r>
        <w:t xml:space="preserve"> </w:t>
      </w:r>
      <w:r>
        <w:t xml:space="preserve">is playing out, continued</w:t>
      </w:r>
      <w:r>
        <w:t xml:space="preserve"> </w:t>
      </w:r>
      <w:r>
        <w:rPr>
          <w:b/>
          <w:bCs/>
        </w:rPr>
        <w:t xml:space="preserve">Quikrete outperformance</w:t>
      </w:r>
      <w:r>
        <w:t xml:space="preserve"> </w:t>
      </w:r>
      <w:r>
        <w:t xml:space="preserve">(Q1: $17M EBITDA in ~1 month at 42% margin, ahead of plan) and confident, specific</w:t>
      </w:r>
      <w:r>
        <w:t xml:space="preserve"> </w:t>
      </w:r>
      <w:r>
        <w:rPr>
          <w:b/>
          <w:bCs/>
        </w:rPr>
        <w:t xml:space="preserve">LNA synergy/deleveraging</w:t>
      </w:r>
      <w:r>
        <w:t xml:space="preserve"> </w:t>
      </w:r>
      <w:r>
        <w:t xml:space="preserve">commentary.</w:t>
      </w:r>
    </w:p>
    <w:p>
      <w:pPr>
        <w:pStyle w:val="BodyText"/>
      </w:pPr>
      <w:r>
        <w:rPr>
          <w:b/>
          <w:bCs/>
        </w:rPr>
        <w:t xml:space="preserve">Bearish:</w:t>
      </w:r>
      <w:r>
        <w:t xml:space="preserve"> </w:t>
      </w:r>
      <w:r>
        <w:rPr>
          <w:b/>
          <w:bCs/>
        </w:rPr>
        <w:t xml:space="preserve">weather-driven Q2 volume softness</w:t>
      </w:r>
      <w:r>
        <w:t xml:space="preserve"> </w:t>
      </w:r>
      <w:r>
        <w:t xml:space="preserve">(the VMC tell), heavier-than-guided</w:t>
      </w:r>
      <w:r>
        <w:t xml:space="preserve"> </w:t>
      </w:r>
      <w:r>
        <w:rPr>
          <w:b/>
          <w:bCs/>
        </w:rPr>
        <w:t xml:space="preserve">diesel/energy cost pressure</w:t>
      </w:r>
      <w:r>
        <w:t xml:space="preserve">, any hesitation on the LNA regulatory timeline or leverage trajectory, or guidance that is merely reaffirmed rather than raised.</w:t>
      </w:r>
    </w:p>
    <w:p>
      <w:pPr>
        <w:pStyle w:val="BodyText"/>
      </w:pPr>
      <w:r>
        <w:t xml:space="preserve">Given the acquisition-accounting distortions and the transformational LNA overhang, this is a quarter where</w:t>
      </w:r>
      <w:r>
        <w:t xml:space="preserve"> </w:t>
      </w:r>
      <w:r>
        <w:rPr>
          <w:b/>
          <w:bCs/>
        </w:rPr>
        <w:t xml:space="preserve">the narrative (guidance + LNA) likely matters more than the printed EPS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MLM Q1 2026 earnings release &amp; call transcript (Apr 30, 2026); Q2 2025 earnings release (Aug 7, 2025); Lhoist combination press release &amp; 8-K (Jun 29, 2026); Term Credit Agreement 8-K (Jul 15, 2026); Q2 2026 earnings-call announcement (Jul 9, 2026); daily news digests (VMC results and Fed decision, Jul 29, 2026); market prices via pricing tool. Figures are company-reported and non-GAAP where noted; nothing here is investment advice.</w:t>
      </w:r>
    </w:p>
    <w:p>
      <w:pPr>
        <w:pStyle w:val="BodyText"/>
      </w:pPr>
      <w:r>
        <w:t xml:space="preserve">Would you like me to add a one-page quantitative model (estimated Q2 revenue/EBITDA/EPS build with the diesel and inventory-markup adjustments), or a deeper dive into the Lhoist deal economics and leverage math?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2026-07-29T19:05:18Z</dcterms:created>
  <dcterms:modified xsi:type="dcterms:W3CDTF">2026-07-29T19:05:18Z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