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X00f5b2d6c0487d2e97d03cdd0c99ab92ba2ab1d"/>
    <w:p>
      <w:pPr>
        <w:pStyle w:val="Heading1"/>
      </w:pPr>
      <w:r>
        <w:t xml:space="preserve">Martin Marietta Materials (MLM) — Q2 2026 Earnings Preview</w:t>
      </w:r>
    </w:p>
    <w:p>
      <w:pPr>
        <w:pStyle w:val="FirstParagraph"/>
      </w:pPr>
      <w:r>
        <w:rPr>
          <w:b/>
          <w:bCs/>
        </w:rPr>
        <w:t xml:space="preserve">Report date:</w:t>
      </w:r>
      <w:r>
        <w:t xml:space="preserve"> </w:t>
      </w:r>
      <w:r>
        <w:t xml:space="preserve">Thursday, July 30, 2026, before market open |</w:t>
      </w:r>
      <w:r>
        <w:t xml:space="preserve"> </w:t>
      </w:r>
      <w:r>
        <w:rPr>
          <w:b/>
          <w:bCs/>
        </w:rPr>
        <w:t xml:space="preserve">Call:</w:t>
      </w:r>
      <w:r>
        <w:t xml:space="preserve"> </w:t>
      </w:r>
      <w:r>
        <w:t xml:space="preserve">10:00 a.m. ET</w:t>
      </w:r>
    </w:p>
    <w:p>
      <w:r>
        <w:pict>
          <v:rect style="width:0;height:1.5pt" o:hralign="center" o:hrstd="t" o:hr="t"/>
        </w:pict>
      </w:r>
    </w:p>
    <w:bookmarkStart w:id="9" w:name="Xfc1770fa9df30b1f4e00aaf893cf7a64086f43f"/>
    <w:p>
      <w:pPr>
        <w:pStyle w:val="Heading2"/>
      </w:pPr>
      <w:r>
        <w:t xml:space="preserve">Setup: A very different stock than it was three months ago</w:t>
      </w:r>
    </w:p>
    <w:p>
      <w:pPr>
        <w:pStyle w:val="FirstParagraph"/>
      </w:pPr>
      <w:r>
        <w:t xml:space="preserve">MLM heads into this print in the middle of the biggest, most complex stretch of its history. Since the Q1 report on April 30, the company has closed the</w:t>
      </w:r>
      <w:r>
        <w:t xml:space="preserve"> </w:t>
      </w:r>
      <w:r>
        <w:rPr>
          <w:b/>
          <w:bCs/>
        </w:rPr>
        <w:t xml:space="preserve">New Frontier Materials</w:t>
      </w:r>
      <w:r>
        <w:t xml:space="preserve"> </w:t>
      </w:r>
      <w:r>
        <w:t xml:space="preserve">bolt-on (completed May 15), and — far more importantly — announced a</w:t>
      </w:r>
      <w:r>
        <w:t xml:space="preserve"> </w:t>
      </w:r>
      <w:r>
        <w:rPr>
          <w:b/>
          <w:bCs/>
        </w:rPr>
        <w:t xml:space="preserve">$13.5 billion combination with Lhoist North America</w:t>
      </w:r>
      <w:r>
        <w:t xml:space="preserve"> </w:t>
      </w:r>
      <w:r>
        <w:t xml:space="preserve">on June 29, its largest deal ever. The stock has not reacted well: shares fell roughly 3% on the Lhoist announcement day and have continued to drift lower since, trading around $575–585 heading into earnings versus a 2026 high near $708 in February and roughly $615 just before the deal was unveiled. This is as much a "deal-digestion" print as a quarterly earnings report.</w:t>
      </w:r>
    </w:p>
    <w:bookmarkEnd w:id="9"/>
    <w:bookmarkStart w:id="10" w:name="where-guidance-stood-coming-out-of-q1"/>
    <w:p>
      <w:pPr>
        <w:pStyle w:val="Heading2"/>
      </w:pPr>
      <w:r>
        <w:t xml:space="preserve">Where guidance stood coming out of Q1</w:t>
      </w:r>
    </w:p>
    <w:p>
      <w:pPr>
        <w:pStyle w:val="FirstParagraph"/>
      </w:pPr>
      <w:r>
        <w:t xml:space="preserve">At Q1 2026 (reported April 30), revenues increased 17% to $1.4 billion, a new first quarter record, with organic aggregate shipments growth of 7.2% meaningfully exceeding guidance, and the quarter reflected a 14% improvement in both adjusted EBITDA and adjusted EPS from continuing operations. Management reaffirmed full-year 2026 Adjusted EBITDA from continuing operations guidance of $2.43 billion at the midpoint, citing April's strong demand and April 1 price increases. Full guidance ranges: revenue $7.00–7.32B, net earnings $1.06–1.17B, Adjusted EBITDA $2.36–2.50B, capex $550–600M, with aggregates organic volume growth of 1–3% and organic ASP growth of 4–6% baked in.</w:t>
      </w:r>
    </w:p>
    <w:p>
      <w:pPr>
        <w:pStyle w:val="BodyText"/>
      </w:pPr>
      <w:r>
        <w:t xml:space="preserve">Crucially, that guidance</w:t>
      </w:r>
      <w:r>
        <w:t xml:space="preserve"> </w:t>
      </w:r>
      <w:r>
        <w:rPr>
          <w:b/>
          <w:bCs/>
        </w:rPr>
        <w:t xml:space="preserve">excluded New Frontier</w:t>
      </w:r>
      <w:r>
        <w:t xml:space="preserve"> </w:t>
      </w:r>
      <w:r>
        <w:t xml:space="preserve">(not yet closed) and management explicitly teed up an upgrade: CEO Ward Nye told analysts "we tend to come back at midyear and reassess our guidance. I'll tell you right now, I'm feeling pretty optimistic about what that reassessment is going to look like", adding that shipment trends were tracking ahead of plan and that "my guess is we're going to see shipments probably trending to the higher end of the guide." Since New Frontier's May 15 close (~8M tons/year in the St. Louis/I-70 corridor) wasn't in the April guide,</w:t>
      </w:r>
      <w:r>
        <w:t xml:space="preserve"> </w:t>
      </w:r>
      <w:r>
        <w:rPr>
          <w:b/>
          <w:bCs/>
        </w:rPr>
        <w:t xml:space="preserve">a formal guidance raise incorporating NFM is a near-certainty at this print</w:t>
      </w:r>
      <w:r>
        <w:t xml:space="preserve"> </w:t>
      </w:r>
      <w:r>
        <w:t xml:space="preserve">— the real question is how much of the "beat and raise" narrative is left after two months of maturing datapoints.</w:t>
      </w:r>
    </w:p>
    <w:bookmarkEnd w:id="10"/>
    <w:bookmarkStart w:id="11" w:name="X436815dd8e46a24292779a65a9fc55e5644dc3d"/>
    <w:p>
      <w:pPr>
        <w:pStyle w:val="Heading2"/>
      </w:pPr>
      <w:r>
        <w:t xml:space="preserve">Watch item #1: Cost/price algorithm and diesel headwind cadence</w:t>
      </w:r>
    </w:p>
    <w:p>
      <w:pPr>
        <w:pStyle w:val="FirstParagraph"/>
      </w:pPr>
      <w:r>
        <w:t xml:space="preserve">Management flagged that diesel costs would be a</w:t>
      </w:r>
      <w:r>
        <w:t xml:space="preserve"> </w:t>
      </w:r>
      <w:r>
        <w:rPr>
          <w:b/>
          <w:bCs/>
        </w:rPr>
        <w:t xml:space="preserve">larger drag in Q2 than Q1</w:t>
      </w:r>
      <w:r>
        <w:t xml:space="preserve">: CFO Michael Petro guided to "$20 million to</w:t>
      </w:r>
      <w:r>
        <w:t xml:space="preserve"> </w:t>
      </w:r>
      <w:r>
        <w:t xml:space="preserve">$25 million of it coming through in Q2 given where spot rates are", part of a full-year estimate of roughly "$</w:t>
      </w:r>
      <w:r>
        <w:t xml:space="preserve">36 million in the aggregates business, probably</w:t>
      </w:r>
      <w:r>
        <w:t xml:space="preserve"> </w:t>
      </w:r>
      <w:r>
        <w:t xml:space="preserve">$50 million for the entire company" from diesel headwinds. On pricing, Q1 organic aggregates pricing was diluted by mix (huge volume growth in lower-ASP Central/West divisions), but management expects this to reverse: "we're going to see that geo mix shift on ASP, which also flows through to the margin because it's not only higher ASP, it's lower cost to produce in the East as well". They also flagged broader midyear price increases this cycle than last year, given inflationary pressure on customers and MLM alike, with **historical realization of ~25% of a midyear increase in the year it's announced** — a key modeling variable for H2. Investors should watch whether Q2 gross profit per ton in aggregates recovers from the Q1 dip ($</w:t>
      </w:r>
      <w:r>
        <w:t xml:space="preserve">6.56/ton, down 14% y/y) as the East/Southeast mix reasserts itself, and whether cost-per-ton discipline (Q1 organic COGS/ton +2.7% ex-freight) held up against the diesel spike.</w:t>
      </w:r>
    </w:p>
    <w:bookmarkEnd w:id="11"/>
    <w:bookmarkStart w:id="12" w:name="X6a73b72647ea005f97b9b4f7508a3d96a37892e"/>
    <w:p>
      <w:pPr>
        <w:pStyle w:val="Heading2"/>
      </w:pPr>
      <w:r>
        <w:t xml:space="preserve">Watch item #2: Quikrete integration and Central/West margin build</w:t>
      </w:r>
    </w:p>
    <w:p>
      <w:pPr>
        <w:pStyle w:val="FirstParagraph"/>
      </w:pPr>
      <w:r>
        <w:t xml:space="preserve">The February 23 Quikrete asset exchange — the largest aggregates acquisition in company history, providing $450 million of cash to redeploy into M&amp;A opportunities — is still in its early innings. Management said Quikrete "has frankly exceeded expectations... we saw $17 million of EBITDA, which on an annualized basis is going to be well ahead of anything that we saw," targeting roughly</w:t>
      </w:r>
      <w:r>
        <w:t xml:space="preserve"> </w:t>
      </w:r>
      <m:oMath>
        <m:r>
          <m:t>50</m:t>
        </m:r>
        <m:r>
          <m:t>m</m:t>
        </m:r>
        <m:r>
          <m:t>i</m:t>
        </m:r>
        <m:r>
          <m:t>l</m:t>
        </m:r>
        <m:r>
          <m:t>l</m:t>
        </m:r>
        <m:r>
          <m:t>i</m:t>
        </m:r>
        <m:r>
          <m:t>o</m:t>
        </m:r>
        <m:r>
          <m:t>n</m:t>
        </m:r>
        <m:r>
          <m:t>o</m:t>
        </m:r>
        <m:r>
          <m:t>f</m:t>
        </m:r>
        <m:r>
          <m:t>r</m:t>
        </m:r>
        <m:r>
          <m:t>u</m:t>
        </m:r>
        <m:r>
          <m:t>n</m:t>
        </m:r>
        <m:r>
          <m:rPr>
            <m:sty m:val="p"/>
          </m:rPr>
          <m:t>−</m:t>
        </m:r>
        <m:r>
          <m:t>r</m:t>
        </m:r>
        <m:r>
          <m:t>a</m:t>
        </m:r>
        <m:r>
          <m:t>t</m:t>
        </m:r>
        <m:r>
          <m:t>e</m:t>
        </m:r>
        <m:r>
          <m:t>s</m:t>
        </m:r>
        <m:r>
          <m:t>y</m:t>
        </m:r>
        <m:r>
          <m:t>n</m:t>
        </m:r>
        <m:r>
          <m:t>e</m:t>
        </m:r>
        <m:r>
          <m:t>r</m:t>
        </m:r>
        <m:r>
          <m:t>g</m:t>
        </m:r>
        <m:r>
          <m:t>i</m:t>
        </m:r>
        <m:r>
          <m:t>e</m:t>
        </m:r>
        <m:r>
          <m:t>s</m:t>
        </m:r>
        <m:r>
          <m:rPr>
            <m:sty m:val="p"/>
          </m:rPr>
          <m:t>.</m:t>
        </m:r>
        <m:r>
          <m:t>Q</m:t>
        </m:r>
        <m:r>
          <m:t>2</m:t>
        </m:r>
        <m:r>
          <m:t>w</m:t>
        </m:r>
        <m:r>
          <m:t>i</m:t>
        </m:r>
        <m:r>
          <m:t>l</m:t>
        </m:r>
        <m:r>
          <m:t>l</m:t>
        </m:r>
        <m:r>
          <m:t>b</m:t>
        </m:r>
        <m:r>
          <m:t>e</m:t>
        </m:r>
        <m:r>
          <m:t>t</m:t>
        </m:r>
        <m:r>
          <m:t>h</m:t>
        </m:r>
        <m:r>
          <m:t>e</m:t>
        </m:r>
        <m:r>
          <m:t>f</m:t>
        </m:r>
        <m:r>
          <m:t>i</m:t>
        </m:r>
        <m:r>
          <m:t>r</m:t>
        </m:r>
        <m:r>
          <m:t>s</m:t>
        </m:r>
        <m:r>
          <m:t>t</m:t>
        </m:r>
        <m:r>
          <m:t>f</m:t>
        </m:r>
        <m:r>
          <m:t>u</m:t>
        </m:r>
        <m:r>
          <m:t>l</m:t>
        </m:r>
        <m:r>
          <m:t>l</m:t>
        </m:r>
        <m:r>
          <m:t>q</m:t>
        </m:r>
        <m:r>
          <m:t>u</m:t>
        </m:r>
        <m:r>
          <m:t>a</m:t>
        </m:r>
        <m:r>
          <m:t>r</m:t>
        </m:r>
        <m:r>
          <m:t>t</m:t>
        </m:r>
        <m:r>
          <m:t>e</m:t>
        </m:r>
        <m:r>
          <m:t>r</m:t>
        </m:r>
        <m:r>
          <m:t>o</m:t>
        </m:r>
        <m:r>
          <m:t>f</m:t>
        </m:r>
        <m:r>
          <m:t>o</m:t>
        </m:r>
        <m:r>
          <m:t>w</m:t>
        </m:r>
        <m:r>
          <m:t>n</m:t>
        </m:r>
        <m:r>
          <m:t>e</m:t>
        </m:r>
        <m:r>
          <m:t>r</m:t>
        </m:r>
        <m:r>
          <m:t>s</m:t>
        </m:r>
        <m:r>
          <m:t>h</m:t>
        </m:r>
        <m:r>
          <m:t>i</m:t>
        </m:r>
        <m:r>
          <m:t>p</m:t>
        </m:r>
        <m:r>
          <m:rPr>
            <m:sty m:val="p"/>
          </m:rPr>
          <m:t>;</m:t>
        </m:r>
        <m:r>
          <m:t>w</m:t>
        </m:r>
        <m:r>
          <m:t>a</m:t>
        </m:r>
        <m:r>
          <m:t>t</m:t>
        </m:r>
        <m:r>
          <m:t>c</m:t>
        </m:r>
        <m:r>
          <m:t>h</m:t>
        </m:r>
        <m:r>
          <m:t>f</m:t>
        </m:r>
        <m:r>
          <m:t>o</m:t>
        </m:r>
        <m:r>
          <m:t>r</m:t>
        </m:r>
        <m:r>
          <m:t>c</m:t>
        </m:r>
        <m:r>
          <m:t>o</m:t>
        </m:r>
        <m:r>
          <m:t>n</m:t>
        </m:r>
        <m:r>
          <m:t>t</m:t>
        </m:r>
        <m:r>
          <m:t>i</m:t>
        </m:r>
        <m:r>
          <m:t>n</m:t>
        </m:r>
        <m:r>
          <m:t>u</m:t>
        </m:r>
        <m:r>
          <m:t>e</m:t>
        </m:r>
        <m:r>
          <m:t>d</m:t>
        </m:r>
        <m:r>
          <m:t>b</m:t>
        </m:r>
        <m:r>
          <m:t>u</m:t>
        </m:r>
        <m:r>
          <m:t>r</m:t>
        </m:r>
        <m:r>
          <m:t>n</m:t>
        </m:r>
        <m:r>
          <m:rPr>
            <m:sty m:val="p"/>
          </m:rPr>
          <m:t>−</m:t>
        </m:r>
        <m:r>
          <m:t>o</m:t>
        </m:r>
        <m:r>
          <m:t>f</m:t>
        </m:r>
        <m:r>
          <m:t>f</m:t>
        </m:r>
        <m:r>
          <m:t>o</m:t>
        </m:r>
        <m:r>
          <m:t>f</m:t>
        </m:r>
        <m:r>
          <m:t>t</m:t>
        </m:r>
        <m:r>
          <m:t>h</m:t>
        </m:r>
        <m:r>
          <m:t>e</m:t>
        </m:r>
        <m:r>
          <m:t>p</m:t>
        </m:r>
        <m:r>
          <m:t>u</m:t>
        </m:r>
        <m:r>
          <m:t>r</m:t>
        </m:r>
        <m:r>
          <m:t>c</m:t>
        </m:r>
        <m:r>
          <m:t>h</m:t>
        </m:r>
        <m:r>
          <m:t>a</m:t>
        </m:r>
        <m:r>
          <m:t>s</m:t>
        </m:r>
        <m:r>
          <m:t>e</m:t>
        </m:r>
        <m:r>
          <m:rPr>
            <m:sty m:val="p"/>
          </m:rPr>
          <m:t>−</m:t>
        </m:r>
        <m:r>
          <m:t>a</m:t>
        </m:r>
        <m:r>
          <m:t>c</m:t>
        </m:r>
        <m:r>
          <m:t>c</m:t>
        </m:r>
        <m:r>
          <m:t>o</m:t>
        </m:r>
        <m:r>
          <m:t>u</m:t>
        </m:r>
        <m:r>
          <m:t>n</m:t>
        </m:r>
        <m:r>
          <m:t>t</m:t>
        </m:r>
        <m:r>
          <m:t>i</m:t>
        </m:r>
        <m:r>
          <m:t>n</m:t>
        </m:r>
        <m:r>
          <m:t>g</m:t>
        </m:r>
        <m:r>
          <m:t>i</m:t>
        </m:r>
        <m:r>
          <m:t>n</m:t>
        </m:r>
        <m:r>
          <m:t>v</m:t>
        </m:r>
        <m:r>
          <m:t>e</m:t>
        </m:r>
        <m:r>
          <m:t>n</m:t>
        </m:r>
        <m:r>
          <m:t>t</m:t>
        </m:r>
        <m:r>
          <m:t>o</m:t>
        </m:r>
        <m:r>
          <m:t>r</m:t>
        </m:r>
        <m:r>
          <m:t>y</m:t>
        </m:r>
        <m:r>
          <m:t>s</m:t>
        </m:r>
        <m:r>
          <m:t>t</m:t>
        </m:r>
        <m:r>
          <m:t>e</m:t>
        </m:r>
        <m:r>
          <m:t>p</m:t>
        </m:r>
        <m:r>
          <m:rPr>
            <m:sty m:val="p"/>
          </m:rPr>
          <m:t>−</m:t>
        </m:r>
        <m:r>
          <m:t>u</m:t>
        </m:r>
        <m:r>
          <m:t>p</m:t>
        </m:r>
        <m:r>
          <m:rPr>
            <m:sty m:val="p"/>
          </m:rPr>
          <m:t>(</m:t>
        </m:r>
        <m:r>
          <m:t> </m:t>
        </m:r>
      </m:oMath>
      <w:r>
        <w:t xml:space="preserve">44 million remaining as of Q1) that dents reported aggregates gross profit even as it's added back to Adjusted EBITDA, plus commentary on New Frontier integration following its May 15 close.</w:t>
      </w:r>
    </w:p>
    <w:bookmarkEnd w:id="12"/>
    <w:bookmarkStart w:id="13" w:name="X4e693d10a63e37c618b968d0e8a33cc1399d683"/>
    <w:p>
      <w:pPr>
        <w:pStyle w:val="Heading2"/>
      </w:pPr>
      <w:r>
        <w:t xml:space="preserve">Watch item #3: The elephant in the room — Lhoist North America</w:t>
      </w:r>
    </w:p>
    <w:p>
      <w:pPr>
        <w:pStyle w:val="FirstParagraph"/>
      </w:pPr>
      <w:r>
        <w:t xml:space="preserve">This is the dominant issue for the print and call. On June 29, MLM announced a deal to combine with Lhoist North America for **</w:t>
      </w:r>
      <m:oMath>
        <m:r>
          <m:t>13.5</m:t>
        </m:r>
        <m:r>
          <m:t>b</m:t>
        </m:r>
        <m:r>
          <m:t>i</m:t>
        </m:r>
        <m:r>
          <m:t>l</m:t>
        </m:r>
        <m:r>
          <m:t>l</m:t>
        </m:r>
        <m:r>
          <m:t>i</m:t>
        </m:r>
        <m:r>
          <m:t>o</m:t>
        </m:r>
        <m:r>
          <m:t>n</m:t>
        </m:r>
        <m:r>
          <m:rPr>
            <m:sty m:val="p"/>
          </m:rPr>
          <m:t>*</m:t>
        </m:r>
        <m:r>
          <m:rPr>
            <m:sty m:val="p"/>
          </m:rPr>
          <m:t>*</m:t>
        </m:r>
        <m:r>
          <m:rPr>
            <m:sty m:val="p"/>
          </m:rPr>
          <m:t>(</m:t>
        </m:r>
      </m:oMath>
      <w:r>
        <w:t xml:space="preserve">7.0B cash, $6.5B stock), which management framed as building "the nation's leading lime and limestone franchise with industry-leading margins, long-lived reserves and broad exposure to critical infrastructure and industrial end markets." Lhoist NA generated $1.8 billion in gross sales and $786 million of Adjusted EBITDA for the twelve months ended December 31, 2025, anchored by more than 2 billion tons of high-quality limestone reserves with</w:t>
      </w:r>
      <w:r>
        <w:t xml:space="preserve"> </w:t>
      </w:r>
      <w:r>
        <w:rPr>
          <w:b/>
          <w:bCs/>
        </w:rPr>
        <w:t xml:space="preserve">200+ years of reserve life</w:t>
      </w:r>
      <w:r>
        <w:t xml:space="preserve"> </w:t>
      </w:r>
      <w:r>
        <w:t xml:space="preserve">and a 45%+ EBITDA margin.</w:t>
      </w:r>
    </w:p>
    <w:p>
      <w:pPr>
        <w:pStyle w:val="BodyText"/>
      </w:pPr>
      <w:r>
        <w:t xml:space="preserve">Key financial and market-reaction facts investors will be probing on the call:</w:t>
      </w:r>
    </w:p>
    <w:p>
      <w:pPr>
        <w:pStyle w:val="Compact"/>
        <w:numPr>
          <w:ilvl w:val="0"/>
          <w:numId w:val="1001"/>
        </w:numPr>
      </w:pPr>
      <w:r>
        <w:rPr>
          <w:b/>
          <w:bCs/>
        </w:rPr>
        <w:t xml:space="preserve">Leverage</w:t>
      </w:r>
      <w:r>
        <w:t xml:space="preserve">: Combined Net Leverage is expected to be</w:t>
      </w:r>
      <w:r>
        <w:t xml:space="preserve"> </w:t>
      </w:r>
      <w:r>
        <w:rPr>
          <w:b/>
          <w:bCs/>
        </w:rPr>
        <w:t xml:space="preserve">~3.7x at close</w:t>
      </w:r>
      <w:r>
        <w:t xml:space="preserve">, with a target of</w:t>
      </w:r>
      <w:r>
        <w:t xml:space="preserve"> </w:t>
      </w:r>
      <w:r>
        <w:rPr>
          <w:b/>
          <w:bCs/>
        </w:rPr>
        <w:t xml:space="preserve">&lt;2.5x within 24 months</w:t>
      </w:r>
      <w:r>
        <w:t xml:space="preserve">, and management says it remains "committed to maintaining strong investment grade credit rating." To accommodate this, MLM has already amended its revolver covenant (allowing leverage up to 4.75x for the first three quarters post-close, stepping down to 3.75x) and lined up a new</w:t>
      </w:r>
      <w:r>
        <w:t xml:space="preserve"> </w:t>
      </w:r>
      <w:r>
        <w:rPr>
          <w:b/>
          <w:bCs/>
        </w:rPr>
        <w:t xml:space="preserve">$1.5 billion three-year unsecured term loan</w:t>
      </w:r>
      <w:r>
        <w:t xml:space="preserve"> </w:t>
      </w:r>
      <w:r>
        <w:t xml:space="preserve">to help fund the cash portion.</w:t>
      </w:r>
    </w:p>
    <w:p>
      <w:pPr>
        <w:pStyle w:val="Compact"/>
        <w:numPr>
          <w:ilvl w:val="0"/>
          <w:numId w:val="1001"/>
        </w:numPr>
      </w:pPr>
      <w:r>
        <w:rPr>
          <w:b/>
          <w:bCs/>
        </w:rPr>
        <w:t xml:space="preserve">Dilution/governance</w:t>
      </w:r>
      <w:r>
        <w:t xml:space="preserve">: The Berghmans family (Lhoist's owners) will end up owning</w:t>
      </w:r>
      <w:r>
        <w:t xml:space="preserve"> </w:t>
      </w:r>
      <w:r>
        <w:rPr>
          <w:b/>
          <w:bCs/>
        </w:rPr>
        <w:t xml:space="preserve">~15% of MLM</w:t>
      </w:r>
      <w:r>
        <w:t xml:space="preserve"> </w:t>
      </w:r>
      <w:r>
        <w:t xml:space="preserve">on a fully diluted basis with board representation — a notable equity issuance for existing shareholders to digest.</w:t>
      </w:r>
    </w:p>
    <w:p>
      <w:pPr>
        <w:pStyle w:val="Compact"/>
        <w:numPr>
          <w:ilvl w:val="0"/>
          <w:numId w:val="1001"/>
        </w:numPr>
      </w:pPr>
      <w:r>
        <w:rPr>
          <w:b/>
          <w:bCs/>
        </w:rPr>
        <w:t xml:space="preserve">Synergies/accretion</w:t>
      </w:r>
      <w:r>
        <w:t xml:space="preserve">: Management pegs</w:t>
      </w:r>
      <w:r>
        <w:t xml:space="preserve"> </w:t>
      </w:r>
      <w:r>
        <w:rPr>
          <w:b/>
          <w:bCs/>
        </w:rPr>
        <w:t xml:space="preserve">~$85 million of annual run-rate cost synergies</w:t>
      </w:r>
      <w:r>
        <w:t xml:space="preserve"> </w:t>
      </w:r>
      <w:r>
        <w:t xml:space="preserve">within two years and says the deal is expected to be accretive to earnings and margins in the first full year following close, with combined 2026G Adjusted EBITDA margin rising from 34% (MLM standalone) to 37% combined.</w:t>
      </w:r>
    </w:p>
    <w:p>
      <w:pPr>
        <w:pStyle w:val="Compact"/>
        <w:numPr>
          <w:ilvl w:val="0"/>
          <w:numId w:val="1001"/>
        </w:numPr>
      </w:pPr>
      <w:r>
        <w:rPr>
          <w:b/>
          <w:bCs/>
        </w:rPr>
        <w:t xml:space="preserve">Market reaction</w:t>
      </w:r>
      <w:r>
        <w:t xml:space="preserve">: The stock fell about 2.9% to $598 in premarket trading on announcement day and has continued to underperform since — a signal that investors are more focused on the leverage/dilution math and integration risk than the long-term strategic logic. Expect pointed analyst questions on financing certainty, antitrust/regulatory timeline (deal expected to close in H2 2026), and how the credit rating agencies are treating the higher leverage step-up.</w:t>
      </w:r>
    </w:p>
    <w:p>
      <w:pPr>
        <w:pStyle w:val="FirstParagraph"/>
      </w:pPr>
      <w:r>
        <w:t xml:space="preserve">Since Lhoist hasn't closed, it won't be in the numbers or the (likely raised) 2026 guidance this quarter — but expect extensive qualitative color on integration planning, regulatory process status, and possibly early color on financing execution (bond issuance to complement the term loan/revolver).</w:t>
      </w:r>
    </w:p>
    <w:bookmarkEnd w:id="13"/>
    <w:bookmarkStart w:id="14" w:name="Xbfc269ca78510f33aa9e1f3e6296942dd9b2f6a"/>
    <w:p>
      <w:pPr>
        <w:pStyle w:val="Heading2"/>
      </w:pPr>
      <w:r>
        <w:t xml:space="preserve">Peer read-through: Vulcan Materials reported the same morning</w:t>
      </w:r>
    </w:p>
    <w:p>
      <w:pPr>
        <w:pStyle w:val="FirstParagraph"/>
      </w:pPr>
      <w:r>
        <w:t xml:space="preserve">Direct comparable</w:t>
      </w:r>
      <w:r>
        <w:t xml:space="preserve"> </w:t>
      </w:r>
      <w:r>
        <w:rPr>
          <w:b/>
          <w:bCs/>
        </w:rPr>
        <w:t xml:space="preserve">Vulcan Materials (VMC)</w:t>
      </w:r>
      <w:r>
        <w:t xml:space="preserve"> </w:t>
      </w:r>
      <w:r>
        <w:t xml:space="preserve">reported Q2 results on July 29 (one day ahead of MLM) and beat expectations: total revenue rose about 3% to $2.16 billion in the quarter ended June 30, beating analysts' average estimate of $2.12 billion, with quarterly adjusted profit of $2.59 per share versus $2.45 a year ago. However, aggregates shipments only grew 1% year-over-year, as shipments in Texas and certain southeastern markets were impacted by heavy rainfall in the May-June period, while the non-aggregates segment was hurt by higher asphalt costs and lower shipments due to weather; Vulcan reiterated (did not raise) full-year EBITDA guidance. Given MLM's overlapping East/Southeast and Texas footprint, this is a useful — and mildly cautionary — read-through: weather and elevated asphalt/liquid costs may have trimmed some of the volume/margin upside that seemed to be building through April.</w:t>
      </w:r>
    </w:p>
    <w:bookmarkEnd w:id="14"/>
    <w:bookmarkStart w:id="15" w:name="end-market-backdrop-as-of-q1-commentary"/>
    <w:p>
      <w:pPr>
        <w:pStyle w:val="Heading2"/>
      </w:pPr>
      <w:r>
        <w:t xml:space="preserve">End-market backdrop (as of Q1 commentary)</w:t>
      </w:r>
    </w:p>
    <w:p>
      <w:pPr>
        <w:pStyle w:val="FirstParagraph"/>
      </w:pPr>
      <w:r>
        <w:t xml:space="preserve">Management remains constructive on public infrastructure funding, noting a significant portion of authorized IIJA funding has yet to be deployed, with nearly half of highway and bridge funding remaining undistributed as of late February, and that policymakers are targeting a five-year surface transportation reauthorization by October 1 (with a short CR seen as a non-event for 2026 activity). On the private side, management cited</w:t>
      </w:r>
      <w:r>
        <w:t xml:space="preserve"> </w:t>
      </w:r>
      <w:r>
        <w:rPr>
          <w:b/>
          <w:bCs/>
        </w:rPr>
        <w:t xml:space="preserve">data centers up 62%, warehousing up 57%, and LNG-related shipments up 20%</w:t>
      </w:r>
      <w:r>
        <w:t xml:space="preserve"> </w:t>
      </w:r>
      <w:r>
        <w:t xml:space="preserve">in Q1, while flagging that residential and rate-sensitive nonresidential construction "are highly interest rate affected areas... not booming in any respect right now" but should recover over time given an estimated 4-million-home national shortfall. Watch for updated commentary on whether data center/reindustrialization demand is still accelerating into Q3, and any incremental read on tariff/mineral-supply-chain dynamics given the broader macro backdrop of U.S. reindustrialization policy.</w:t>
      </w:r>
    </w:p>
    <w:bookmarkEnd w:id="15"/>
    <w:bookmarkStart w:id="16" w:name="capital-allocation-and-balance-sheet"/>
    <w:p>
      <w:pPr>
        <w:pStyle w:val="Heading2"/>
      </w:pPr>
      <w:r>
        <w:t xml:space="preserve">Capital allocation and balance sheet</w:t>
      </w:r>
    </w:p>
    <w:p>
      <w:pPr>
        <w:pStyle w:val="FirstParagraph"/>
      </w:pPr>
      <w:r>
        <w:t xml:space="preserve">At Q1, MLM had $273 million of unrestricted cash and $1.2 billion of unused borrowing capacity, and returned $251 million to shareholders through dividends and buybacks in the quarter, with 10.7 million shares remaining under the current repurchase authorization. With Lhoist financing needs now in the picture (the new $1.5B term loan plus a large cash outlay), expect questions on whether buyback pace slows through the pendency of the deal, and how management is sequencing the New Frontier, Quikrete, and Lhoist capital needs against its stated leverage glide path.</w:t>
      </w:r>
    </w:p>
    <w:bookmarkEnd w:id="16"/>
    <w:bookmarkStart w:id="17" w:name="bottom-line--what-would-move-the-stock"/>
    <w:p>
      <w:pPr>
        <w:pStyle w:val="Heading2"/>
      </w:pPr>
      <w:r>
        <w:t xml:space="preserve">Bottom line — what would move the stock</w:t>
      </w:r>
    </w:p>
    <w:p>
      <w:pPr>
        <w:pStyle w:val="Compact"/>
        <w:numPr>
          <w:ilvl w:val="0"/>
          <w:numId w:val="1002"/>
        </w:numPr>
      </w:pPr>
      <w:r>
        <w:rPr>
          <w:b/>
          <w:bCs/>
        </w:rPr>
        <w:t xml:space="preserve">A full-year guidance raise</w:t>
      </w:r>
      <w:r>
        <w:t xml:space="preserve"> </w:t>
      </w:r>
      <w:r>
        <w:t xml:space="preserve">incorporating New Frontier and reflecting the stronger-than-expected shipment cadence flagged at Q1 — largely expected, so the magnitude matters more than the direction.</w:t>
      </w:r>
    </w:p>
    <w:p>
      <w:pPr>
        <w:pStyle w:val="Compact"/>
        <w:numPr>
          <w:ilvl w:val="0"/>
          <w:numId w:val="1002"/>
        </w:numPr>
      </w:pPr>
      <w:r>
        <w:rPr>
          <w:b/>
          <w:bCs/>
        </w:rPr>
        <w:t xml:space="preserve">Evidence that the East/Southeast pricing mix-shift materialized</w:t>
      </w:r>
      <w:r>
        <w:t xml:space="preserve"> </w:t>
      </w:r>
      <w:r>
        <w:t xml:space="preserve">in Q2, lifting aggregates gross profit per ton off the Q1 trough, and that diesel cost headwinds were contained near the guided $20–25M range.</w:t>
      </w:r>
    </w:p>
    <w:p>
      <w:pPr>
        <w:pStyle w:val="Compact"/>
        <w:numPr>
          <w:ilvl w:val="0"/>
          <w:numId w:val="1002"/>
        </w:numPr>
      </w:pPr>
      <w:r>
        <w:rPr>
          <w:b/>
          <w:bCs/>
        </w:rPr>
        <w:t xml:space="preserve">Fresh detail on Lhoist financing, leverage trajectory, and regulatory timeline</w:t>
      </w:r>
      <w:r>
        <w:t xml:space="preserve"> </w:t>
      </w:r>
      <w:r>
        <w:t xml:space="preserve">— this is likely to dominate the Q&amp;A and matters more for the stock than the underlying aggregates quarter, given the market's cautious reaction to the deal's size and leverage.</w:t>
      </w:r>
    </w:p>
    <w:p>
      <w:pPr>
        <w:pStyle w:val="Compact"/>
        <w:numPr>
          <w:ilvl w:val="0"/>
          <w:numId w:val="1002"/>
        </w:numPr>
      </w:pPr>
      <w:r>
        <w:rPr>
          <w:b/>
          <w:bCs/>
        </w:rPr>
        <w:t xml:space="preserve">Any read-through from Vulcan's weather/cost commentary</w:t>
      </w:r>
      <w:r>
        <w:t xml:space="preserve"> </w:t>
      </w:r>
      <w:r>
        <w:t xml:space="preserve">— if MLM's East Group (Texas/Southeast-heavy) saw similar rain-related shipment or asphalt-cost drag, that could offset some of the positive volume momentum flagged back in April.</w:t>
      </w:r>
    </w:p>
    <w:p>
      <w:pPr>
        <w:pStyle w:val="FirstParagraph"/>
      </w:pPr>
      <w:r>
        <w:t xml:space="preserve">Given the binary nature of the Lhoist overhang, this print is as much about</w:t>
      </w:r>
      <w:r>
        <w:t xml:space="preserve"> </w:t>
      </w:r>
      <w:r>
        <w:rPr>
          <w:b/>
          <w:bCs/>
        </w:rPr>
        <w:t xml:space="preserve">management's ability to reassure investors on integration discipline and balance-sheet management</w:t>
      </w:r>
      <w:r>
        <w:t xml:space="preserve"> </w:t>
      </w:r>
      <w:r>
        <w:t xml:space="preserve">as it is about the underlying aggregates fundamentals, which — per the Q1 setup and April commentary — appear to remain solid.</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2026-07-29T19:05:13Z</dcterms:created>
  <dcterms:modified xsi:type="dcterms:W3CDTF">2026-07-29T19:05:13Z</dcterms:modified>
</cp:coreProperties>
</file>

<file path=docProps/custom.xml><?xml version="1.0" encoding="utf-8"?>
<Properties xmlns="http://schemas.openxmlformats.org/officeDocument/2006/custom-properties" xmlns:vt="http://schemas.openxmlformats.org/officeDocument/2006/docPropsVTypes"/>
</file>