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bddd19ff2e93e9c9e52478a348083db0e20601"/>
    <w:p>
      <w:pPr>
        <w:pStyle w:val="Heading1"/>
      </w:pPr>
      <w:r>
        <w:t xml:space="preserve">Martin Marietta Materials (NYSE: MLM) — Q2 2026 Earnings Preview</w:t>
      </w:r>
    </w:p>
    <w:p>
      <w:pPr>
        <w:pStyle w:val="FirstParagraph"/>
      </w:pPr>
      <w:r>
        <w:rPr>
          <w:b/>
          <w:bCs/>
        </w:rPr>
        <w:t xml:space="preserve">Report:</w:t>
      </w:r>
      <w:r>
        <w:t xml:space="preserve"> </w:t>
      </w:r>
      <w:r>
        <w:t xml:space="preserve">Thursday, July 30, 2026, before the market opens</w:t>
      </w:r>
      <w:r>
        <w:br/>
      </w:r>
      <w:r>
        <w:rPr>
          <w:b/>
          <w:bCs/>
        </w:rPr>
        <w:t xml:space="preserve">Conference call:</w:t>
      </w:r>
      <w:r>
        <w:t xml:space="preserve"> </w:t>
      </w:r>
      <w:r>
        <w:t xml:space="preserve">10:00 a.m. ET (</w:t>
      </w:r>
      <w:hyperlink r:id="rId9">
        <w:r>
          <w:rPr>
            <w:rStyle w:val="Hyperlink"/>
          </w:rPr>
          <w:t xml:space="preserve">globenewswire.com</w:t>
        </w:r>
      </w:hyperlink>
      <w:r>
        <w:t xml:space="preserve">)</w:t>
      </w:r>
    </w:p>
    <w:bookmarkStart w:id="11" w:name="investment-setup"/>
    <w:p>
      <w:pPr>
        <w:pStyle w:val="Heading2"/>
      </w:pPr>
      <w:r>
        <w:t xml:space="preserve">Investment setup</w:t>
      </w:r>
    </w:p>
    <w:p>
      <w:pPr>
        <w:pStyle w:val="FirstParagraph"/>
      </w:pPr>
      <w:r>
        <w:t xml:space="preserve">Martin Marietta enters the report with</w:t>
      </w:r>
      <w:r>
        <w:t xml:space="preserve"> </w:t>
      </w:r>
      <w:r>
        <w:rPr>
          <w:b/>
          <w:bCs/>
        </w:rPr>
        <w:t xml:space="preserve">strong underlying aggregates demand but an unusually complicated financial presentation</w:t>
      </w:r>
      <w:r>
        <w:t xml:space="preserve">. Q2 will contain contributions from recently acquired operations, purchase-accounting charges, geographic mix effects and elevated diesel costs. At the same time, management is expected to update guidance for the New Frontier Materials acquisition and address the recently announced $13.5 billion combination with Lhoist North America.</w:t>
      </w:r>
    </w:p>
    <w:p>
      <w:pPr>
        <w:pStyle w:val="BodyText"/>
      </w:pPr>
      <w:r>
        <w:t xml:space="preserve">Third-party consensus currently calls for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consensus</w:t>
            </w:r>
          </w:p>
        </w:tc>
      </w:tr>
      <w:tr>
        <w:tc>
          <w:tcPr/>
          <w:p>
            <w:pPr>
              <w:pStyle w:val="Compact"/>
            </w:pPr>
            <w:r>
              <w:t xml:space="preserve">Revenue</w:t>
            </w:r>
          </w:p>
        </w:tc>
        <w:tc>
          <w:tcPr/>
          <w:p>
            <w:pPr>
              <w:pStyle w:val="Compact"/>
              <w:jc w:val="right"/>
            </w:pPr>
            <w:r>
              <w:rPr>
                <w:b/>
                <w:bCs/>
              </w:rPr>
              <w:t xml:space="preserve">$1.87 billion</w:t>
            </w:r>
          </w:p>
        </w:tc>
      </w:tr>
      <w:tr>
        <w:tc>
          <w:tcPr/>
          <w:p>
            <w:pPr>
              <w:pStyle w:val="Compact"/>
            </w:pPr>
            <w:r>
              <w:t xml:space="preserve">EPS</w:t>
            </w:r>
          </w:p>
        </w:tc>
        <w:tc>
          <w:tcPr/>
          <w:p>
            <w:pPr>
              <w:pStyle w:val="Compact"/>
              <w:jc w:val="right"/>
            </w:pPr>
            <w:r>
              <w:rPr>
                <w:b/>
                <w:bCs/>
              </w:rPr>
              <w:t xml:space="preserve">$4.79</w:t>
            </w:r>
          </w:p>
        </w:tc>
      </w:tr>
    </w:tbl>
    <w:p>
      <w:pPr>
        <w:pStyle w:val="BodyText"/>
      </w:pPr>
      <w:r>
        <w:t xml:space="preserve">Consensus definitions may differ, particularly for EPS, given discontinued operations and acquisition-related adjustments. (</w:t>
      </w:r>
      <w:hyperlink r:id="rId10">
        <w:r>
          <w:rPr>
            <w:rStyle w:val="Hyperlink"/>
          </w:rPr>
          <w:t xml:space="preserve">marketbeat.com</w:t>
        </w:r>
      </w:hyperlink>
      <w:r>
        <w:t xml:space="preserve">)</w:t>
      </w:r>
    </w:p>
    <w:p>
      <w:pPr>
        <w:pStyle w:val="BodyText"/>
      </w:pPr>
      <w:r>
        <w:t xml:space="preserve">The headline beat or miss matters, but the stock’s more durable reaction will probably depend on four items:</w:t>
      </w:r>
    </w:p>
    <w:p>
      <w:pPr>
        <w:pStyle w:val="Compact"/>
        <w:numPr>
          <w:ilvl w:val="0"/>
          <w:numId w:val="1001"/>
        </w:numPr>
      </w:pPr>
      <w:r>
        <w:rPr>
          <w:b/>
          <w:bCs/>
        </w:rPr>
        <w:t xml:space="preserve">Organic aggregates pricing and unit profitability</w:t>
      </w:r>
    </w:p>
    <w:p>
      <w:pPr>
        <w:pStyle w:val="Compact"/>
        <w:numPr>
          <w:ilvl w:val="0"/>
          <w:numId w:val="1001"/>
        </w:numPr>
      </w:pPr>
      <w:r>
        <w:rPr>
          <w:b/>
          <w:bCs/>
        </w:rPr>
        <w:t xml:space="preserve">Shipment momentum after a strong April</w:t>
      </w:r>
    </w:p>
    <w:p>
      <w:pPr>
        <w:pStyle w:val="Compact"/>
        <w:numPr>
          <w:ilvl w:val="0"/>
          <w:numId w:val="1001"/>
        </w:numPr>
      </w:pPr>
      <w:r>
        <w:rPr>
          <w:b/>
          <w:bCs/>
        </w:rPr>
        <w:t xml:space="preserve">The size and quality of the full-year guidance increase</w:t>
      </w:r>
    </w:p>
    <w:p>
      <w:pPr>
        <w:pStyle w:val="Compact"/>
        <w:numPr>
          <w:ilvl w:val="0"/>
          <w:numId w:val="1001"/>
        </w:numPr>
      </w:pPr>
      <w:r>
        <w:rPr>
          <w:b/>
          <w:bCs/>
        </w:rPr>
        <w:t xml:space="preserve">Management’s defense of the Lhoist transaction and leverage plan</w:t>
      </w:r>
    </w:p>
    <w:p>
      <w:r>
        <w:pict>
          <v:rect style="width:0;height:1.5pt" o:hralign="center" o:hrstd="t" o:hr="t"/>
        </w:pict>
      </w:r>
    </w:p>
    <w:bookmarkEnd w:id="11"/>
    <w:bookmarkStart w:id="15" w:name="what-changed-during-the-quarter"/>
    <w:p>
      <w:pPr>
        <w:pStyle w:val="Heading2"/>
      </w:pPr>
      <w:r>
        <w:t xml:space="preserve">What changed during the quarter?</w:t>
      </w:r>
    </w:p>
    <w:bookmarkStart w:id="12" w:name="X5e4be1fe48fbe04a5e6f5dd17790263ba547266"/>
    <w:p>
      <w:pPr>
        <w:pStyle w:val="Heading3"/>
      </w:pPr>
      <w:r>
        <w:t xml:space="preserve">1. The acquired aggregates portfolio is now a meaningful contributor</w:t>
      </w:r>
    </w:p>
    <w:p>
      <w:pPr>
        <w:pStyle w:val="FirstParagraph"/>
      </w:pPr>
      <w:r>
        <w:t xml:space="preserve">The operations acquired from QUIKRETE closed on February 23, so Q2 will be the first quarter with approximately three full months of contribution. These assets produce roughly 20 million tons annually and were already performing ahead of management’s initial EBITDA and margin expectations in Q1.</w:t>
      </w:r>
    </w:p>
    <w:p>
      <w:pPr>
        <w:pStyle w:val="BodyText"/>
      </w:pPr>
      <w:r>
        <w:t xml:space="preserve">New Frontier Materials closed on</w:t>
      </w:r>
      <w:r>
        <w:t xml:space="preserve"> </w:t>
      </w:r>
      <w:r>
        <w:rPr>
          <w:b/>
          <w:bCs/>
        </w:rPr>
        <w:t xml:space="preserve">May 15</w:t>
      </w:r>
      <w:r>
        <w:t xml:space="preserve">, meaning MLM should record approximately half a quarter of results from a business producing more than 8 million annual aggregates tons, plus asphalt. New Frontier was not included in the guidance reiterated on April 30, making its contribution one of the clearest reasons to expect a guidance update.</w:t>
      </w:r>
    </w:p>
    <w:p>
      <w:pPr>
        <w:pStyle w:val="BodyText"/>
      </w:pPr>
      <w:r>
        <w:t xml:space="preserve">The result should be</w:t>
      </w:r>
      <w:r>
        <w:t xml:space="preserve"> </w:t>
      </w:r>
      <w:r>
        <w:rPr>
          <w:b/>
          <w:bCs/>
        </w:rPr>
        <w:t xml:space="preserve">strong reported shipment and revenue growth</w:t>
      </w:r>
      <w:r>
        <w:t xml:space="preserve">, although reported average selling price could be diluted because the acquired Midwest operations carry lower ASPs than MLM’s East and Southwest businesses.</w:t>
      </w:r>
    </w:p>
    <w:bookmarkEnd w:id="12"/>
    <w:bookmarkStart w:id="14" w:name="Xb8bb79d984df4e5123134cbd727d44abf478f4b"/>
    <w:p>
      <w:pPr>
        <w:pStyle w:val="Heading3"/>
      </w:pPr>
      <w:r>
        <w:t xml:space="preserve">2. Lhoist has changed the investment debate</w:t>
      </w:r>
    </w:p>
    <w:p>
      <w:pPr>
        <w:pStyle w:val="FirstParagraph"/>
      </w:pPr>
      <w:r>
        <w:t xml:space="preserve">On June 29, MLM agreed to acquire Lhoist North America for</w:t>
      </w:r>
      <w:r>
        <w:t xml:space="preserve"> </w:t>
      </w:r>
      <w:r>
        <w:rPr>
          <w:b/>
          <w:bCs/>
        </w:rPr>
        <w:t xml:space="preserve">$13.5 billion</w:t>
      </w:r>
      <w:r>
        <w:t xml:space="preserve">, consisting of $7.0 billion in cash and $6.5 billion in stock. Lhoist generated $786 million of 2025 adjusted EBITDA at a 45% margin, and MLM expects $85 million of annual run-rate cost synergies within two years. The company expects leverage of approximately 3.7 times at closing, declining below 2.5 times within 24 months. (</w:t>
      </w:r>
      <w:hyperlink r:id="rId13">
        <w:r>
          <w:rPr>
            <w:rStyle w:val="Hyperlink"/>
          </w:rPr>
          <w:t xml:space="preserve">ir.martinmarietta.com</w:t>
        </w:r>
      </w:hyperlink>
      <w:r>
        <w:t xml:space="preserve">)</w:t>
      </w:r>
    </w:p>
    <w:p>
      <w:pPr>
        <w:pStyle w:val="BodyText"/>
      </w:pPr>
      <w:r>
        <w:t xml:space="preserve">Strategically, the deal creates a much larger lime and industrial-minerals platform with long-lived reserves and high cash conversion. Financially, however, it raises questions about:</w:t>
      </w:r>
    </w:p>
    <w:p>
      <w:pPr>
        <w:pStyle w:val="Compact"/>
        <w:numPr>
          <w:ilvl w:val="0"/>
          <w:numId w:val="1002"/>
        </w:numPr>
      </w:pPr>
      <w:r>
        <w:t xml:space="preserve">The roughly</w:t>
      </w:r>
      <w:r>
        <w:t xml:space="preserve"> </w:t>
      </w:r>
      <w:r>
        <w:rPr>
          <w:b/>
          <w:bCs/>
        </w:rPr>
        <w:t xml:space="preserve">15-times EBITDA purchase multiple</w:t>
      </w:r>
      <w:r>
        <w:t xml:space="preserve">, including synergies</w:t>
      </w:r>
    </w:p>
    <w:p>
      <w:pPr>
        <w:pStyle w:val="Compact"/>
        <w:numPr>
          <w:ilvl w:val="0"/>
          <w:numId w:val="1002"/>
        </w:numPr>
      </w:pPr>
      <w:r>
        <w:t xml:space="preserve">Execution risk following several recent portfolio moves</w:t>
      </w:r>
    </w:p>
    <w:p>
      <w:pPr>
        <w:pStyle w:val="Compact"/>
        <w:numPr>
          <w:ilvl w:val="0"/>
          <w:numId w:val="1002"/>
        </w:numPr>
      </w:pPr>
      <w:r>
        <w:t xml:space="preserve">Near-term dilution from stock consideration</w:t>
      </w:r>
    </w:p>
    <w:p>
      <w:pPr>
        <w:pStyle w:val="Compact"/>
        <w:numPr>
          <w:ilvl w:val="0"/>
          <w:numId w:val="1002"/>
        </w:numPr>
      </w:pPr>
      <w:r>
        <w:t xml:space="preserve">Higher interest expense and reduced balance-sheet flexibility</w:t>
      </w:r>
    </w:p>
    <w:p>
      <w:pPr>
        <w:pStyle w:val="Compact"/>
        <w:numPr>
          <w:ilvl w:val="0"/>
          <w:numId w:val="1002"/>
        </w:numPr>
      </w:pPr>
      <w:r>
        <w:t xml:space="preserve">Whether management can achieve its deleveraging target without sacrificing operational investment</w:t>
      </w:r>
    </w:p>
    <w:p>
      <w:pPr>
        <w:pStyle w:val="FirstParagraph"/>
      </w:pPr>
      <w:r>
        <w:t xml:space="preserve">Lhoist will not contribute to Q2 results, but it may dominate the call.</w:t>
      </w:r>
    </w:p>
    <w:p>
      <w:r>
        <w:pict>
          <v:rect style="width:0;height:1.5pt" o:hralign="center" o:hrstd="t" o:hr="t"/>
        </w:pict>
      </w:r>
    </w:p>
    <w:bookmarkEnd w:id="14"/>
    <w:bookmarkEnd w:id="15"/>
    <w:bookmarkStart w:id="21" w:name="key-operating-questions"/>
    <w:p>
      <w:pPr>
        <w:pStyle w:val="Heading2"/>
      </w:pPr>
      <w:r>
        <w:t xml:space="preserve">Key operating questions</w:t>
      </w:r>
    </w:p>
    <w:bookmarkStart w:id="16" w:name="X9fa35c5f842512d1f6dfad286fc257266a04ed1"/>
    <w:p>
      <w:pPr>
        <w:pStyle w:val="Heading3"/>
      </w:pPr>
      <w:r>
        <w:t xml:space="preserve">Aggregates volumes: likely strong, but Q1 created a demanding setup</w:t>
      </w:r>
    </w:p>
    <w:p>
      <w:pPr>
        <w:pStyle w:val="FirstParagraph"/>
      </w:pPr>
      <w:r>
        <w:t xml:space="preserve">Q1 organic aggregates shipments increased 7.2%, well ahead of the company’s initial expectations. Management said April demand also remained above plan and indicated full-year volume could trend toward the high end of guidance.</w:t>
      </w:r>
    </w:p>
    <w:p>
      <w:pPr>
        <w:pStyle w:val="BodyText"/>
      </w:pPr>
      <w:r>
        <w:t xml:space="preserve">The strength was led by:</w:t>
      </w:r>
    </w:p>
    <w:p>
      <w:pPr>
        <w:pStyle w:val="Compact"/>
        <w:numPr>
          <w:ilvl w:val="0"/>
          <w:numId w:val="1003"/>
        </w:numPr>
      </w:pPr>
      <w:r>
        <w:t xml:space="preserve">Infrastructure and highways</w:t>
      </w:r>
    </w:p>
    <w:p>
      <w:pPr>
        <w:pStyle w:val="Compact"/>
        <w:numPr>
          <w:ilvl w:val="0"/>
          <w:numId w:val="1003"/>
        </w:numPr>
      </w:pPr>
      <w:r>
        <w:t xml:space="preserve">Data centers and power-related construction</w:t>
      </w:r>
    </w:p>
    <w:p>
      <w:pPr>
        <w:pStyle w:val="Compact"/>
        <w:numPr>
          <w:ilvl w:val="0"/>
          <w:numId w:val="1003"/>
        </w:numPr>
      </w:pPr>
      <w:r>
        <w:t xml:space="preserve">LNG and other energy projects</w:t>
      </w:r>
    </w:p>
    <w:p>
      <w:pPr>
        <w:pStyle w:val="Compact"/>
        <w:numPr>
          <w:ilvl w:val="0"/>
          <w:numId w:val="1003"/>
        </w:numPr>
      </w:pPr>
      <w:r>
        <w:t xml:space="preserve">Warehouses and distribution centers</w:t>
      </w:r>
    </w:p>
    <w:p>
      <w:pPr>
        <w:pStyle w:val="Compact"/>
        <w:numPr>
          <w:ilvl w:val="0"/>
          <w:numId w:val="1003"/>
        </w:numPr>
      </w:pPr>
      <w:r>
        <w:t xml:space="preserve">An early construction-season start in the Midwest and Colorado</w:t>
      </w:r>
    </w:p>
    <w:p>
      <w:pPr>
        <w:pStyle w:val="FirstParagraph"/>
      </w:pPr>
      <w:r>
        <w:t xml:space="preserve">Residential and light commercial activity remained soft. The main Q2 question is whether strong heavy-construction demand continued to outweigh housing weakness—or whether some Q1 volume merely shifted forward because of favorable weather.</w:t>
      </w:r>
    </w:p>
    <w:p>
      <w:pPr>
        <w:pStyle w:val="BodyText"/>
      </w:pPr>
      <w:r>
        <w:rPr>
          <w:b/>
          <w:bCs/>
        </w:rPr>
        <w:t xml:space="preserve">Positive signal:</w:t>
      </w:r>
      <w:r>
        <w:t xml:space="preserve"> </w:t>
      </w:r>
      <w:r>
        <w:t xml:space="preserve">Organic volume growth remains clearly positive despite tougher comparisons.</w:t>
      </w:r>
    </w:p>
    <w:p>
      <w:pPr>
        <w:pStyle w:val="BodyText"/>
      </w:pPr>
      <w:r>
        <w:rPr>
          <w:b/>
          <w:bCs/>
        </w:rPr>
        <w:t xml:space="preserve">Negative signal:</w:t>
      </w:r>
      <w:r>
        <w:t xml:space="preserve"> </w:t>
      </w:r>
      <w:r>
        <w:t xml:space="preserve">Organic volumes flatten or decline, suggesting Q1 benefited disproportionately from weather and project timing.</w:t>
      </w:r>
    </w:p>
    <w:p>
      <w:r>
        <w:pict>
          <v:rect style="width:0;height:1.5pt" o:hralign="center" o:hrstd="t" o:hr="t"/>
        </w:pict>
      </w:r>
    </w:p>
    <w:bookmarkEnd w:id="16"/>
    <w:bookmarkStart w:id="17" w:name="X3edb3139164824e9faa2f0ae3158bd183a5a911"/>
    <w:p>
      <w:pPr>
        <w:pStyle w:val="Heading3"/>
      </w:pPr>
      <w:r>
        <w:t xml:space="preserve">Pricing: focus on organic realization, not reported ASP alone</w:t>
      </w:r>
    </w:p>
    <w:p>
      <w:pPr>
        <w:pStyle w:val="FirstParagraph"/>
      </w:pPr>
      <w:r>
        <w:t xml:space="preserve">Reported Q1 aggregates ASP was essentially flat because shipment growth was concentrated in lower-price Central and West markets and because the acquired QUIKRETE assets are ASP-dilutive.</w:t>
      </w:r>
    </w:p>
    <w:p>
      <w:pPr>
        <w:pStyle w:val="BodyText"/>
      </w:pPr>
      <w:r>
        <w:t xml:space="preserve">Management nevertheless maintained that underlying pricing remained healthy. It expected organic ASP growth to trend toward approximately 4% before incremental midyear increases, versus full-year guidance of 4%–6%.</w:t>
      </w:r>
    </w:p>
    <w:p>
      <w:pPr>
        <w:pStyle w:val="BodyText"/>
      </w:pPr>
      <w:r>
        <w:t xml:space="preserve">The company also issued broader midyear price increases, including in newly acquired markets. Historically, MLM realizes about one-quarter of a midyear increase during the year in which it is introduced, with the larger benefit carrying into the following year.</w:t>
      </w:r>
    </w:p>
    <w:p>
      <w:pPr>
        <w:pStyle w:val="BodyText"/>
      </w:pPr>
      <w:r>
        <w:t xml:space="preserve">Investors should therefore separate:</w:t>
      </w:r>
    </w:p>
    <w:p>
      <w:pPr>
        <w:pStyle w:val="Compact"/>
        <w:numPr>
          <w:ilvl w:val="0"/>
          <w:numId w:val="1004"/>
        </w:numPr>
      </w:pPr>
      <w:r>
        <w:rPr>
          <w:b/>
          <w:bCs/>
        </w:rPr>
        <w:t xml:space="preserve">Reported ASP growth</w:t>
      </w:r>
      <w:r>
        <w:t xml:space="preserve">, affected by acquisition and geographic mix</w:t>
      </w:r>
    </w:p>
    <w:p>
      <w:pPr>
        <w:pStyle w:val="Compact"/>
        <w:numPr>
          <w:ilvl w:val="0"/>
          <w:numId w:val="1004"/>
        </w:numPr>
      </w:pPr>
      <w:r>
        <w:rPr>
          <w:b/>
          <w:bCs/>
        </w:rPr>
        <w:t xml:space="preserve">Organic/local-market pricing</w:t>
      </w:r>
    </w:p>
    <w:p>
      <w:pPr>
        <w:pStyle w:val="Compact"/>
        <w:numPr>
          <w:ilvl w:val="0"/>
          <w:numId w:val="1004"/>
        </w:numPr>
      </w:pPr>
      <w:r>
        <w:rPr>
          <w:b/>
          <w:bCs/>
        </w:rPr>
        <w:t xml:space="preserve">Price realization after April 1 increases</w:t>
      </w:r>
    </w:p>
    <w:p>
      <w:pPr>
        <w:pStyle w:val="Compact"/>
        <w:numPr>
          <w:ilvl w:val="0"/>
          <w:numId w:val="1004"/>
        </w:numPr>
      </w:pPr>
      <w:r>
        <w:rPr>
          <w:b/>
          <w:bCs/>
        </w:rPr>
        <w:t xml:space="preserve">Early evidence from midyear increases</w:t>
      </w:r>
    </w:p>
    <w:p>
      <w:pPr>
        <w:pStyle w:val="Compact"/>
        <w:numPr>
          <w:ilvl w:val="0"/>
          <w:numId w:val="1004"/>
        </w:numPr>
      </w:pPr>
      <w:r>
        <w:rPr>
          <w:b/>
          <w:bCs/>
        </w:rPr>
        <w:t xml:space="preserve">Price-cost spread</w:t>
      </w:r>
      <w:r>
        <w:t xml:space="preserve">, the ultimate driver of unit profitability</w:t>
      </w:r>
    </w:p>
    <w:p>
      <w:pPr>
        <w:pStyle w:val="FirstParagraph"/>
      </w:pPr>
      <w:r>
        <w:t xml:space="preserve">A modest reported ASP number would not necessarily be disappointing if organic pricing and gross profit per ton are healthy.</w:t>
      </w:r>
    </w:p>
    <w:p>
      <w:r>
        <w:pict>
          <v:rect style="width:0;height:1.5pt" o:hralign="center" o:hrstd="t" o:hr="t"/>
        </w:pict>
      </w:r>
    </w:p>
    <w:bookmarkEnd w:id="17"/>
    <w:bookmarkStart w:id="20" w:name="X902a7bb71c4ed903dd2572044575aba542c931a"/>
    <w:p>
      <w:pPr>
        <w:pStyle w:val="Heading3"/>
      </w:pPr>
      <w:r>
        <w:t xml:space="preserve">Costs and gross profit per ton: the quarter’s hardest comparison</w:t>
      </w:r>
    </w:p>
    <w:p>
      <w:pPr>
        <w:pStyle w:val="FirstParagraph"/>
      </w:pPr>
      <w:r>
        <w:t xml:space="preserve">Q2 faces two identifiable headwinds.</w:t>
      </w:r>
    </w:p>
    <w:bookmarkStart w:id="18" w:name="diesel"/>
    <w:p>
      <w:pPr>
        <w:pStyle w:val="Heading4"/>
      </w:pPr>
      <w:r>
        <w:t xml:space="preserve">Diesel</w:t>
      </w:r>
    </w:p>
    <w:p>
      <w:pPr>
        <w:pStyle w:val="FirstParagraph"/>
      </w:pPr>
      <w:r>
        <w:t xml:space="preserve">Management estimated that higher diesel and related energy costs would create a</w:t>
      </w:r>
      <w:r>
        <w:t xml:space="preserve"> </w:t>
      </w:r>
      <m:oMath>
        <m:r>
          <m:t>20</m:t>
        </m:r>
        <m:r>
          <m:t>m</m:t>
        </m:r>
        <m:r>
          <m:t>i</m:t>
        </m:r>
        <m:r>
          <m:t>l</m:t>
        </m:r>
        <m:r>
          <m:t>l</m:t>
        </m:r>
        <m:r>
          <m:t>i</m:t>
        </m:r>
        <m:r>
          <m:t>o</m:t>
        </m:r>
        <m:r>
          <m:t>n</m:t>
        </m:r>
        <m:r>
          <m:rPr>
            <m:sty m:val="p"/>
          </m:rPr>
          <m:t>–</m:t>
        </m:r>
      </m:oMath>
      <w:r>
        <w:rPr>
          <w:b/>
          <w:bCs/>
        </w:rPr>
        <w:t xml:space="preserve">25 million Q2 headwind</w:t>
      </w:r>
      <w:r>
        <w:t xml:space="preserve">, with approximately $50 million of company-wide pressure for the full year.</w:t>
      </w:r>
    </w:p>
    <w:p>
      <w:pPr>
        <w:pStyle w:val="BodyText"/>
      </w:pPr>
      <w:r>
        <w:t xml:space="preserve">The important question is whether stronger volumes, pricing and network optimization fully offset that burden.</w:t>
      </w:r>
    </w:p>
    <w:bookmarkEnd w:id="18"/>
    <w:bookmarkStart w:id="19" w:name="purchase-accounting"/>
    <w:p>
      <w:pPr>
        <w:pStyle w:val="Heading4"/>
      </w:pPr>
      <w:r>
        <w:t xml:space="preserve">Purchase accounting</w:t>
      </w:r>
    </w:p>
    <w:p>
      <w:pPr>
        <w:pStyle w:val="FirstParagraph"/>
      </w:pPr>
      <w:r>
        <w:t xml:space="preserve">MLM expected approximately</w:t>
      </w:r>
      <w:r>
        <w:t xml:space="preserve"> </w:t>
      </w:r>
      <w:r>
        <w:rPr>
          <w:b/>
          <w:bCs/>
        </w:rPr>
        <w:t xml:space="preserve">$44 million of remaining QUIKRETE inventory step-up expense in Q2</w:t>
      </w:r>
      <w:r>
        <w:t xml:space="preserve">. This is noncash and added back to adjusted EBITDA, but it will depress reported gross profit and GAAP earnings.</w:t>
      </w:r>
    </w:p>
    <w:p>
      <w:pPr>
        <w:pStyle w:val="BodyText"/>
      </w:pPr>
      <w:r>
        <w:t xml:space="preserve">Consequently, investors should look beyond the headline aggregates gross-profit-per-ton figure and examine:</w:t>
      </w:r>
    </w:p>
    <w:p>
      <w:pPr>
        <w:pStyle w:val="Compact"/>
        <w:numPr>
          <w:ilvl w:val="0"/>
          <w:numId w:val="1005"/>
        </w:numPr>
      </w:pPr>
      <w:r>
        <w:t xml:space="preserve">Gross profit per ton excluding inventory markup</w:t>
      </w:r>
    </w:p>
    <w:p>
      <w:pPr>
        <w:pStyle w:val="Compact"/>
        <w:numPr>
          <w:ilvl w:val="0"/>
          <w:numId w:val="1005"/>
        </w:numPr>
      </w:pPr>
      <w:r>
        <w:t xml:space="preserve">Organic cost per ton excluding pass-through freight</w:t>
      </w:r>
    </w:p>
    <w:p>
      <w:pPr>
        <w:pStyle w:val="Compact"/>
        <w:numPr>
          <w:ilvl w:val="0"/>
          <w:numId w:val="1005"/>
        </w:numPr>
      </w:pPr>
      <w:r>
        <w:t xml:space="preserve">Underlying price-cost spread</w:t>
      </w:r>
    </w:p>
    <w:p>
      <w:pPr>
        <w:pStyle w:val="Compact"/>
        <w:numPr>
          <w:ilvl w:val="0"/>
          <w:numId w:val="1005"/>
        </w:numPr>
      </w:pPr>
      <w:r>
        <w:t xml:space="preserve">Incremental margins on acquired shipments</w:t>
      </w:r>
    </w:p>
    <w:p>
      <w:pPr>
        <w:pStyle w:val="Compact"/>
        <w:numPr>
          <w:ilvl w:val="0"/>
          <w:numId w:val="1005"/>
        </w:numPr>
      </w:pPr>
      <w:r>
        <w:t xml:space="preserve">QUIKRETE profitability after normalizing purchase accounting</w:t>
      </w:r>
    </w:p>
    <w:p>
      <w:pPr>
        <w:pStyle w:val="FirstParagraph"/>
      </w:pPr>
      <w:r>
        <w:t xml:space="preserve">Management said in Q1 that comparable organic cost per ton was up only about 2.7%, while comparable consolidated cost growth was approximately 1.7%. Maintaining that discipline despite diesel inflation would be a strong result.</w:t>
      </w:r>
    </w:p>
    <w:p>
      <w:r>
        <w:pict>
          <v:rect style="width:0;height:1.5pt" o:hralign="center" o:hrstd="t" o:hr="t"/>
        </w:pict>
      </w:r>
    </w:p>
    <w:bookmarkEnd w:id="19"/>
    <w:bookmarkEnd w:id="20"/>
    <w:bookmarkEnd w:id="21"/>
    <w:bookmarkStart w:id="24" w:name="Xfb6dfc78c744a4803efff6354cc007a77dc6293"/>
    <w:p>
      <w:pPr>
        <w:pStyle w:val="Heading2"/>
      </w:pPr>
      <w:r>
        <w:t xml:space="preserve">Full-year guidance: an increase is the base-case expectation</w:t>
      </w:r>
    </w:p>
    <w:p>
      <w:pPr>
        <w:pStyle w:val="FirstParagraph"/>
      </w:pPr>
      <w:r>
        <w:t xml:space="preserve">MLM reaffirmed the following 2026 outlook in April: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2026 guidance</w:t>
            </w:r>
          </w:p>
        </w:tc>
        <w:tc>
          <w:tcPr/>
          <w:p>
            <w:pPr>
              <w:pStyle w:val="Compact"/>
              <w:jc w:val="right"/>
            </w:pPr>
            <w:r>
              <w:t xml:space="preserve">Low</w:t>
            </w:r>
          </w:p>
        </w:tc>
        <w:tc>
          <w:tcPr/>
          <w:p>
            <w:pPr>
              <w:pStyle w:val="Compact"/>
              <w:jc w:val="right"/>
            </w:pPr>
            <w:r>
              <w:t xml:space="preserve">Midpoint</w:t>
            </w:r>
          </w:p>
        </w:tc>
        <w:tc>
          <w:tcPr/>
          <w:p>
            <w:pPr>
              <w:pStyle w:val="Compact"/>
              <w:jc w:val="right"/>
            </w:pPr>
            <w:r>
              <w:t xml:space="preserve">High</w:t>
            </w:r>
          </w:p>
        </w:tc>
      </w:tr>
      <w:tr>
        <w:tc>
          <w:tcPr/>
          <w:p>
            <w:pPr>
              <w:pStyle w:val="Compact"/>
            </w:pPr>
            <w:r>
              <w:t xml:space="preserve">Revenue</w:t>
            </w:r>
          </w:p>
        </w:tc>
        <w:tc>
          <w:tcPr/>
          <w:p>
            <w:pPr>
              <w:pStyle w:val="Compact"/>
              <w:jc w:val="right"/>
            </w:pPr>
            <w:r>
              <w:t xml:space="preserve">$7.00B</w:t>
            </w:r>
          </w:p>
        </w:tc>
        <w:tc>
          <w:tcPr/>
          <w:p>
            <w:pPr>
              <w:pStyle w:val="Compact"/>
              <w:jc w:val="right"/>
            </w:pPr>
            <w:r>
              <w:rPr>
                <w:b/>
                <w:bCs/>
              </w:rPr>
              <w:t xml:space="preserve">$7.16B</w:t>
            </w:r>
          </w:p>
        </w:tc>
        <w:tc>
          <w:tcPr/>
          <w:p>
            <w:pPr>
              <w:pStyle w:val="Compact"/>
              <w:jc w:val="right"/>
            </w:pPr>
            <w:r>
              <w:t xml:space="preserve">$7.32B</w:t>
            </w:r>
          </w:p>
        </w:tc>
      </w:tr>
      <w:tr>
        <w:tc>
          <w:tcPr/>
          <w:p>
            <w:pPr>
              <w:pStyle w:val="Compact"/>
            </w:pPr>
            <w:r>
              <w:t xml:space="preserve">Adjusted EBITDA</w:t>
            </w:r>
          </w:p>
        </w:tc>
        <w:tc>
          <w:tcPr/>
          <w:p>
            <w:pPr>
              <w:pStyle w:val="Compact"/>
              <w:jc w:val="right"/>
            </w:pPr>
            <w:r>
              <w:t xml:space="preserve">$2.36B</w:t>
            </w:r>
          </w:p>
        </w:tc>
        <w:tc>
          <w:tcPr/>
          <w:p>
            <w:pPr>
              <w:pStyle w:val="Compact"/>
              <w:jc w:val="right"/>
            </w:pPr>
            <w:r>
              <w:rPr>
                <w:b/>
                <w:bCs/>
              </w:rPr>
              <w:t xml:space="preserve">$2.43B</w:t>
            </w:r>
          </w:p>
        </w:tc>
        <w:tc>
          <w:tcPr/>
          <w:p>
            <w:pPr>
              <w:pStyle w:val="Compact"/>
              <w:jc w:val="right"/>
            </w:pPr>
            <w:r>
              <w:t xml:space="preserve">$2.50B</w:t>
            </w:r>
          </w:p>
        </w:tc>
      </w:tr>
      <w:tr>
        <w:tc>
          <w:tcPr/>
          <w:p>
            <w:pPr>
              <w:pStyle w:val="Compact"/>
            </w:pPr>
            <w:r>
              <w:t xml:space="preserve">Capital expenditures</w:t>
            </w:r>
          </w:p>
        </w:tc>
        <w:tc>
          <w:tcPr/>
          <w:p>
            <w:pPr>
              <w:pStyle w:val="Compact"/>
              <w:jc w:val="right"/>
            </w:pPr>
            <w:r>
              <w:t xml:space="preserve">$550M</w:t>
            </w:r>
          </w:p>
        </w:tc>
        <w:tc>
          <w:tcPr/>
          <w:p>
            <w:pPr>
              <w:pStyle w:val="Compact"/>
              <w:jc w:val="right"/>
            </w:pPr>
            <w:r>
              <w:rPr>
                <w:b/>
                <w:bCs/>
              </w:rPr>
              <w:t xml:space="preserve">$575M</w:t>
            </w:r>
          </w:p>
        </w:tc>
        <w:tc>
          <w:tcPr/>
          <w:p>
            <w:pPr>
              <w:pStyle w:val="Compact"/>
              <w:jc w:val="right"/>
            </w:pPr>
            <w:r>
              <w:t xml:space="preserve">$600M</w:t>
            </w:r>
          </w:p>
        </w:tc>
      </w:tr>
      <w:tr>
        <w:tc>
          <w:tcPr/>
          <w:p>
            <w:pPr>
              <w:pStyle w:val="Compact"/>
            </w:pPr>
            <w:r>
              <w:t xml:space="preserve">Total aggregates volume growth</w:t>
            </w:r>
          </w:p>
        </w:tc>
        <w:tc>
          <w:tcPr/>
          <w:p>
            <w:pPr>
              <w:pStyle w:val="Compact"/>
              <w:jc w:val="right"/>
            </w:pPr>
            <w:r>
              <w:t xml:space="preserve">11%</w:t>
            </w:r>
          </w:p>
        </w:tc>
        <w:tc>
          <w:tcPr/>
          <w:p>
            <w:pPr>
              <w:pStyle w:val="Compact"/>
              <w:jc w:val="right"/>
            </w:pPr>
            <w:r>
              <w:rPr>
                <w:b/>
                <w:bCs/>
              </w:rPr>
              <w:t xml:space="preserve">12%</w:t>
            </w:r>
          </w:p>
        </w:tc>
        <w:tc>
          <w:tcPr/>
          <w:p>
            <w:pPr>
              <w:pStyle w:val="Compact"/>
              <w:jc w:val="right"/>
            </w:pPr>
            <w:r>
              <w:t xml:space="preserve">13%</w:t>
            </w:r>
          </w:p>
        </w:tc>
      </w:tr>
      <w:tr>
        <w:tc>
          <w:tcPr/>
          <w:p>
            <w:pPr>
              <w:pStyle w:val="Compact"/>
            </w:pPr>
            <w:r>
              <w:t xml:space="preserve">Organic aggregates volume growth</w:t>
            </w:r>
          </w:p>
        </w:tc>
        <w:tc>
          <w:tcPr/>
          <w:p>
            <w:pPr>
              <w:pStyle w:val="Compact"/>
              <w:jc w:val="right"/>
            </w:pPr>
            <w:r>
              <w:t xml:space="preserve">1%</w:t>
            </w:r>
          </w:p>
        </w:tc>
        <w:tc>
          <w:tcPr/>
          <w:p>
            <w:pPr>
              <w:pStyle w:val="Compact"/>
              <w:jc w:val="right"/>
            </w:pPr>
            <w:r>
              <w:rPr>
                <w:b/>
                <w:bCs/>
              </w:rPr>
              <w:t xml:space="preserve">2%</w:t>
            </w:r>
          </w:p>
        </w:tc>
        <w:tc>
          <w:tcPr/>
          <w:p>
            <w:pPr>
              <w:pStyle w:val="Compact"/>
              <w:jc w:val="right"/>
            </w:pPr>
            <w:r>
              <w:t xml:space="preserve">3%</w:t>
            </w:r>
          </w:p>
        </w:tc>
      </w:tr>
      <w:tr>
        <w:tc>
          <w:tcPr/>
          <w:p>
            <w:pPr>
              <w:pStyle w:val="Compact"/>
            </w:pPr>
            <w:r>
              <w:t xml:space="preserve">Organic ASP growth</w:t>
            </w:r>
          </w:p>
        </w:tc>
        <w:tc>
          <w:tcPr/>
          <w:p>
            <w:pPr>
              <w:pStyle w:val="Compact"/>
              <w:jc w:val="right"/>
            </w:pPr>
            <w:r>
              <w:t xml:space="preserve">4%</w:t>
            </w:r>
          </w:p>
        </w:tc>
        <w:tc>
          <w:tcPr/>
          <w:p>
            <w:pPr>
              <w:pStyle w:val="Compact"/>
              <w:jc w:val="right"/>
            </w:pPr>
            <w:r>
              <w:rPr>
                <w:b/>
                <w:bCs/>
              </w:rPr>
              <w:t xml:space="preserve">5%</w:t>
            </w:r>
          </w:p>
        </w:tc>
        <w:tc>
          <w:tcPr/>
          <w:p>
            <w:pPr>
              <w:pStyle w:val="Compact"/>
              <w:jc w:val="right"/>
            </w:pPr>
            <w:r>
              <w:t xml:space="preserve">6%</w:t>
            </w:r>
          </w:p>
        </w:tc>
      </w:tr>
    </w:tbl>
    <w:p>
      <w:pPr>
        <w:pStyle w:val="BodyText"/>
      </w:pPr>
      <w:r>
        <w:t xml:space="preserve">That guidance already included the QUIKRETE assets but excluded New Frontier. (</w:t>
      </w:r>
      <w:hyperlink r:id="rId22">
        <w:r>
          <w:rPr>
            <w:rStyle w:val="Hyperlink"/>
          </w:rPr>
          <w:t xml:space="preserve">ir.martinmarietta.com</w:t>
        </w:r>
      </w:hyperlink>
      <w:r>
        <w:t xml:space="preserve">)</w:t>
      </w:r>
    </w:p>
    <w:p>
      <w:pPr>
        <w:pStyle w:val="BodyText"/>
      </w:pPr>
      <w:r>
        <w:t xml:space="preserve">Management identified several potential sources of upside during the Q1 call:</w:t>
      </w:r>
    </w:p>
    <w:p>
      <w:pPr>
        <w:pStyle w:val="Compact"/>
        <w:numPr>
          <w:ilvl w:val="0"/>
          <w:numId w:val="1006"/>
        </w:numPr>
      </w:pPr>
      <w:r>
        <w:t xml:space="preserve">Stronger-than-planned aggregates shipments</w:t>
      </w:r>
    </w:p>
    <w:p>
      <w:pPr>
        <w:pStyle w:val="Compact"/>
        <w:numPr>
          <w:ilvl w:val="0"/>
          <w:numId w:val="1006"/>
        </w:numPr>
      </w:pPr>
      <w:r>
        <w:t xml:space="preserve">New Frontier contributions</w:t>
      </w:r>
    </w:p>
    <w:p>
      <w:pPr>
        <w:pStyle w:val="Compact"/>
        <w:numPr>
          <w:ilvl w:val="0"/>
          <w:numId w:val="1006"/>
        </w:numPr>
      </w:pPr>
      <w:r>
        <w:t xml:space="preserve">Midyear price increases</w:t>
      </w:r>
    </w:p>
    <w:p>
      <w:pPr>
        <w:pStyle w:val="Compact"/>
        <w:numPr>
          <w:ilvl w:val="0"/>
          <w:numId w:val="1006"/>
        </w:numPr>
      </w:pPr>
      <w:r>
        <w:t xml:space="preserve">Network-optimization savings</w:t>
      </w:r>
    </w:p>
    <w:p>
      <w:pPr>
        <w:pStyle w:val="Compact"/>
        <w:numPr>
          <w:ilvl w:val="0"/>
          <w:numId w:val="1006"/>
        </w:numPr>
      </w:pPr>
      <w:r>
        <w:t xml:space="preserve">Better-than-expected QUIKRETE performance</w:t>
      </w:r>
    </w:p>
    <w:p>
      <w:pPr>
        <w:pStyle w:val="FirstParagraph"/>
      </w:pPr>
      <w:r>
        <w:t xml:space="preserve">Accordingly, an unchanged outlook would likely be interpreted cautiously unless management points to weather, energy or transaction costs that offset those benefits.</w:t>
      </w:r>
    </w:p>
    <w:bookmarkStart w:id="23" w:name="what-would-constitute-a-strong-guide"/>
    <w:p>
      <w:pPr>
        <w:pStyle w:val="Heading3"/>
      </w:pPr>
      <w:r>
        <w:t xml:space="preserve">What would constitute a strong guide?</w:t>
      </w:r>
    </w:p>
    <w:p>
      <w:pPr>
        <w:pStyle w:val="FirstParagraph"/>
      </w:pPr>
      <w:r>
        <w:t xml:space="preserve">A constructive update would include:</w:t>
      </w:r>
    </w:p>
    <w:p>
      <w:pPr>
        <w:pStyle w:val="Compact"/>
        <w:numPr>
          <w:ilvl w:val="0"/>
          <w:numId w:val="1007"/>
        </w:numPr>
      </w:pPr>
      <w:r>
        <w:t xml:space="preserve">Adjusted EBITDA midpoint raised above $2.43 billion</w:t>
      </w:r>
    </w:p>
    <w:p>
      <w:pPr>
        <w:pStyle w:val="Compact"/>
        <w:numPr>
          <w:ilvl w:val="0"/>
          <w:numId w:val="1007"/>
        </w:numPr>
      </w:pPr>
      <w:r>
        <w:t xml:space="preserve">Organic volume guidance moved toward the high end</w:t>
      </w:r>
    </w:p>
    <w:p>
      <w:pPr>
        <w:pStyle w:val="Compact"/>
        <w:numPr>
          <w:ilvl w:val="0"/>
          <w:numId w:val="1007"/>
        </w:numPr>
      </w:pPr>
      <w:r>
        <w:t xml:space="preserve">New Frontier explicitly incorporated</w:t>
      </w:r>
    </w:p>
    <w:p>
      <w:pPr>
        <w:pStyle w:val="Compact"/>
        <w:numPr>
          <w:ilvl w:val="0"/>
          <w:numId w:val="1007"/>
        </w:numPr>
      </w:pPr>
      <w:r>
        <w:t xml:space="preserve">Confidence that price-cost expansion survives the Q2 diesel spike</w:t>
      </w:r>
    </w:p>
    <w:p>
      <w:pPr>
        <w:pStyle w:val="Compact"/>
        <w:numPr>
          <w:ilvl w:val="0"/>
          <w:numId w:val="1007"/>
        </w:numPr>
      </w:pPr>
      <w:r>
        <w:t xml:space="preserve">Limited impact from Lhoist-related transaction expenses on adjusted results</w:t>
      </w:r>
    </w:p>
    <w:p>
      <w:pPr>
        <w:pStyle w:val="FirstParagraph"/>
      </w:pPr>
      <w:r>
        <w:t xml:space="preserve">The</w:t>
      </w:r>
      <w:r>
        <w:t xml:space="preserve"> </w:t>
      </w:r>
      <w:r>
        <w:rPr>
          <w:b/>
          <w:bCs/>
        </w:rPr>
        <w:t xml:space="preserve">quality</w:t>
      </w:r>
      <w:r>
        <w:t xml:space="preserve"> </w:t>
      </w:r>
      <w:r>
        <w:t xml:space="preserve">of the increase matters. An acquisition-only raise would be less impressive than an increase supported by stronger organic volumes, pricing and unit margins.</w:t>
      </w:r>
    </w:p>
    <w:p>
      <w:r>
        <w:pict>
          <v:rect style="width:0;height:1.5pt" o:hralign="center" o:hrstd="t" o:hr="t"/>
        </w:pict>
      </w:r>
    </w:p>
    <w:bookmarkEnd w:id="23"/>
    <w:bookmarkEnd w:id="24"/>
    <w:bookmarkStart w:id="27" w:name="segment-considerations"/>
    <w:p>
      <w:pPr>
        <w:pStyle w:val="Heading2"/>
      </w:pPr>
      <w:r>
        <w:t xml:space="preserve">Segment considerations</w:t>
      </w:r>
    </w:p>
    <w:bookmarkStart w:id="25" w:name="other-building-materials"/>
    <w:p>
      <w:pPr>
        <w:pStyle w:val="Heading3"/>
      </w:pPr>
      <w:r>
        <w:t xml:space="preserve">Other Building Materials</w:t>
      </w:r>
    </w:p>
    <w:p>
      <w:pPr>
        <w:pStyle w:val="FirstParagraph"/>
      </w:pPr>
      <w:r>
        <w:t xml:space="preserve">Following the QUIKRETE exchange, MLM has substantially reduced its exposure to cement and ready-mixed concrete. Remaining Other Building Materials operations are primarily asphalt and a smaller Arizona ready-mix business.</w:t>
      </w:r>
    </w:p>
    <w:p>
      <w:pPr>
        <w:pStyle w:val="BodyText"/>
      </w:pPr>
      <w:r>
        <w:t xml:space="preserve">Q2 should benefit from the seasonal reopening of asphalt plants in Colorado and Minnesota, although bitumen and energy inflation could constrain margins.</w:t>
      </w:r>
    </w:p>
    <w:bookmarkEnd w:id="25"/>
    <w:bookmarkStart w:id="26" w:name="specialties"/>
    <w:p>
      <w:pPr>
        <w:pStyle w:val="Heading3"/>
      </w:pPr>
      <w:r>
        <w:t xml:space="preserve">Specialties</w:t>
      </w:r>
    </w:p>
    <w:p>
      <w:pPr>
        <w:pStyle w:val="FirstParagraph"/>
      </w:pPr>
      <w:r>
        <w:t xml:space="preserve">Specialties posted record Q1 revenue of $143 million following the Premier Magnesia acquisition. Organic pricing was positive, but shipments were lower and energy costs increased.</w:t>
      </w:r>
    </w:p>
    <w:p>
      <w:pPr>
        <w:pStyle w:val="BodyText"/>
      </w:pPr>
      <w:r>
        <w:t xml:space="preserve">Watch for:</w:t>
      </w:r>
    </w:p>
    <w:p>
      <w:pPr>
        <w:pStyle w:val="Compact"/>
        <w:numPr>
          <w:ilvl w:val="0"/>
          <w:numId w:val="1008"/>
        </w:numPr>
      </w:pPr>
      <w:r>
        <w:t xml:space="preserve">Organic shipment stabilization</w:t>
      </w:r>
    </w:p>
    <w:p>
      <w:pPr>
        <w:pStyle w:val="Compact"/>
        <w:numPr>
          <w:ilvl w:val="0"/>
          <w:numId w:val="1008"/>
        </w:numPr>
      </w:pPr>
      <w:r>
        <w:t xml:space="preserve">Natural-gas and other energy costs</w:t>
      </w:r>
    </w:p>
    <w:p>
      <w:pPr>
        <w:pStyle w:val="Compact"/>
        <w:numPr>
          <w:ilvl w:val="0"/>
          <w:numId w:val="1008"/>
        </w:numPr>
      </w:pPr>
      <w:r>
        <w:t xml:space="preserve">Margin improvement at Premier</w:t>
      </w:r>
    </w:p>
    <w:p>
      <w:pPr>
        <w:pStyle w:val="Compact"/>
        <w:numPr>
          <w:ilvl w:val="0"/>
          <w:numId w:val="1008"/>
        </w:numPr>
      </w:pPr>
      <w:r>
        <w:t xml:space="preserve">Whether the segment’s current results support management’s confidence in expanding further into lime through Lhoist</w:t>
      </w:r>
    </w:p>
    <w:p>
      <w:pPr>
        <w:pStyle w:val="FirstParagraph"/>
      </w:pPr>
      <w:r>
        <w:t xml:space="preserve">Strong Specialties performance would help validate the strategic rationale for the Lhoist combination.</w:t>
      </w:r>
    </w:p>
    <w:p>
      <w:r>
        <w:pict>
          <v:rect style="width:0;height:1.5pt" o:hralign="center" o:hrstd="t" o:hr="t"/>
        </w:pict>
      </w:r>
    </w:p>
    <w:bookmarkEnd w:id="26"/>
    <w:bookmarkEnd w:id="27"/>
    <w:bookmarkStart w:id="28" w:name="questions-investors-should-want-answered"/>
    <w:p>
      <w:pPr>
        <w:pStyle w:val="Heading2"/>
      </w:pPr>
      <w:r>
        <w:t xml:space="preserve">Questions investors should want answered</w:t>
      </w:r>
    </w:p>
    <w:p>
      <w:pPr>
        <w:pStyle w:val="Compact"/>
        <w:numPr>
          <w:ilvl w:val="0"/>
          <w:numId w:val="1009"/>
        </w:numPr>
      </w:pPr>
      <w:r>
        <w:rPr>
          <w:b/>
          <w:bCs/>
        </w:rPr>
        <w:t xml:space="preserve">How much of Q2 shipment growth was organic versus acquired?</w:t>
      </w:r>
    </w:p>
    <w:p>
      <w:pPr>
        <w:pStyle w:val="Compact"/>
        <w:numPr>
          <w:ilvl w:val="0"/>
          <w:numId w:val="1009"/>
        </w:numPr>
      </w:pPr>
      <w:r>
        <w:rPr>
          <w:b/>
          <w:bCs/>
        </w:rPr>
        <w:t xml:space="preserve">What was organic ASP growth after excluding geography and acquisition mix?</w:t>
      </w:r>
    </w:p>
    <w:p>
      <w:pPr>
        <w:pStyle w:val="Compact"/>
        <w:numPr>
          <w:ilvl w:val="0"/>
          <w:numId w:val="1009"/>
        </w:numPr>
      </w:pPr>
      <w:r>
        <w:rPr>
          <w:b/>
          <w:bCs/>
        </w:rPr>
        <w:t xml:space="preserve">Did underlying aggregates gross profit per ton increase despite diesel costs?</w:t>
      </w:r>
    </w:p>
    <w:p>
      <w:pPr>
        <w:pStyle w:val="Compact"/>
        <w:numPr>
          <w:ilvl w:val="0"/>
          <w:numId w:val="1009"/>
        </w:numPr>
      </w:pPr>
      <w:r>
        <w:rPr>
          <w:b/>
          <w:bCs/>
        </w:rPr>
        <w:t xml:space="preserve">How much of the midyear pricing has been accepted, and when will it appear in results?</w:t>
      </w:r>
    </w:p>
    <w:p>
      <w:pPr>
        <w:pStyle w:val="Compact"/>
        <w:numPr>
          <w:ilvl w:val="0"/>
          <w:numId w:val="1009"/>
        </w:numPr>
      </w:pPr>
      <w:r>
        <w:rPr>
          <w:b/>
          <w:bCs/>
        </w:rPr>
        <w:t xml:space="preserve">What EBITDA contribution from New Frontier is incorporated into updated guidance?</w:t>
      </w:r>
    </w:p>
    <w:p>
      <w:pPr>
        <w:pStyle w:val="Compact"/>
        <w:numPr>
          <w:ilvl w:val="0"/>
          <w:numId w:val="1009"/>
        </w:numPr>
      </w:pPr>
      <w:r>
        <w:rPr>
          <w:b/>
          <w:bCs/>
        </w:rPr>
        <w:t xml:space="preserve">Are QUIKRETE synergies still tracking to at least $50 million, and are the assets continuing to outperform?</w:t>
      </w:r>
    </w:p>
    <w:p>
      <w:pPr>
        <w:pStyle w:val="Compact"/>
        <w:numPr>
          <w:ilvl w:val="0"/>
          <w:numId w:val="1009"/>
        </w:numPr>
      </w:pPr>
      <w:r>
        <w:rPr>
          <w:b/>
          <w:bCs/>
        </w:rPr>
        <w:t xml:space="preserve">What is the current timetable and regulatory path for Lhoist?</w:t>
      </w:r>
    </w:p>
    <w:p>
      <w:pPr>
        <w:pStyle w:val="Compact"/>
        <w:numPr>
          <w:ilvl w:val="0"/>
          <w:numId w:val="1009"/>
        </w:numPr>
      </w:pPr>
      <w:r>
        <w:rPr>
          <w:b/>
          <w:bCs/>
        </w:rPr>
        <w:t xml:space="preserve">How will MLM fund the remaining Lhoist cash consideration, and what interest rate should investors model?</w:t>
      </w:r>
    </w:p>
    <w:p>
      <w:pPr>
        <w:pStyle w:val="Compact"/>
        <w:numPr>
          <w:ilvl w:val="0"/>
          <w:numId w:val="1009"/>
        </w:numPr>
      </w:pPr>
      <w:r>
        <w:rPr>
          <w:b/>
          <w:bCs/>
        </w:rPr>
        <w:t xml:space="preserve">What assumptions underpin the target of reducing leverage below 2.5 times within 24 months?</w:t>
      </w:r>
    </w:p>
    <w:p>
      <w:pPr>
        <w:pStyle w:val="Compact"/>
        <w:numPr>
          <w:ilvl w:val="0"/>
          <w:numId w:val="1009"/>
        </w:numPr>
      </w:pPr>
      <w:r>
        <w:rPr>
          <w:b/>
          <w:bCs/>
        </w:rPr>
        <w:t xml:space="preserve">Will buybacks pause while the company deleverages?</w:t>
      </w:r>
    </w:p>
    <w:p>
      <w:r>
        <w:pict>
          <v:rect style="width:0;height:1.5pt" o:hralign="center" o:hrstd="t" o:hr="t"/>
        </w:pict>
      </w:r>
    </w:p>
    <w:bookmarkEnd w:id="28"/>
    <w:bookmarkStart w:id="31" w:name="bull-and-bear-cases"/>
    <w:p>
      <w:pPr>
        <w:pStyle w:val="Heading2"/>
      </w:pPr>
      <w:r>
        <w:t xml:space="preserve">Bull and bear cases</w:t>
      </w:r>
    </w:p>
    <w:bookmarkStart w:id="29" w:name="bull-case"/>
    <w:p>
      <w:pPr>
        <w:pStyle w:val="Heading3"/>
      </w:pPr>
      <w:r>
        <w:t xml:space="preserve">Bull case</w:t>
      </w:r>
    </w:p>
    <w:p>
      <w:pPr>
        <w:pStyle w:val="Compact"/>
        <w:numPr>
          <w:ilvl w:val="0"/>
          <w:numId w:val="1010"/>
        </w:numPr>
      </w:pPr>
      <w:r>
        <w:t xml:space="preserve">Organic shipment growth remains positive</w:t>
      </w:r>
    </w:p>
    <w:p>
      <w:pPr>
        <w:pStyle w:val="Compact"/>
        <w:numPr>
          <w:ilvl w:val="0"/>
          <w:numId w:val="1010"/>
        </w:numPr>
      </w:pPr>
      <w:r>
        <w:t xml:space="preserve">Reported volume growth is amplified by QUIKRETE and New Frontier</w:t>
      </w:r>
    </w:p>
    <w:p>
      <w:pPr>
        <w:pStyle w:val="Compact"/>
        <w:numPr>
          <w:ilvl w:val="0"/>
          <w:numId w:val="1010"/>
        </w:numPr>
      </w:pPr>
      <w:r>
        <w:t xml:space="preserve">April price increases and improving geographic mix restore ASP momentum</w:t>
      </w:r>
    </w:p>
    <w:p>
      <w:pPr>
        <w:pStyle w:val="Compact"/>
        <w:numPr>
          <w:ilvl w:val="0"/>
          <w:numId w:val="1010"/>
        </w:numPr>
      </w:pPr>
      <w:r>
        <w:t xml:space="preserve">Underlying cost per ton remains well controlled</w:t>
      </w:r>
    </w:p>
    <w:p>
      <w:pPr>
        <w:pStyle w:val="Compact"/>
        <w:numPr>
          <w:ilvl w:val="0"/>
          <w:numId w:val="1010"/>
        </w:numPr>
      </w:pPr>
      <w:r>
        <w:t xml:space="preserve">Management raises adjusted EBITDA guidance by more than the mechanical New Frontier contribution</w:t>
      </w:r>
    </w:p>
    <w:p>
      <w:pPr>
        <w:pStyle w:val="Compact"/>
        <w:numPr>
          <w:ilvl w:val="0"/>
          <w:numId w:val="1010"/>
        </w:numPr>
      </w:pPr>
      <w:r>
        <w:t xml:space="preserve">QUIKRETE continues to outperform</w:t>
      </w:r>
    </w:p>
    <w:p>
      <w:pPr>
        <w:pStyle w:val="Compact"/>
        <w:numPr>
          <w:ilvl w:val="0"/>
          <w:numId w:val="1010"/>
        </w:numPr>
      </w:pPr>
      <w:r>
        <w:t xml:space="preserve">Management provides a credible Lhoist financing and deleveraging framework</w:t>
      </w:r>
    </w:p>
    <w:bookmarkEnd w:id="29"/>
    <w:bookmarkStart w:id="30" w:name="bear-case"/>
    <w:p>
      <w:pPr>
        <w:pStyle w:val="Heading3"/>
      </w:pPr>
      <w:r>
        <w:t xml:space="preserve">Bear case</w:t>
      </w:r>
    </w:p>
    <w:p>
      <w:pPr>
        <w:pStyle w:val="Compact"/>
        <w:numPr>
          <w:ilvl w:val="0"/>
          <w:numId w:val="1011"/>
        </w:numPr>
      </w:pPr>
      <w:r>
        <w:t xml:space="preserve">Q1’s early construction start pulled demand forward</w:t>
      </w:r>
    </w:p>
    <w:p>
      <w:pPr>
        <w:pStyle w:val="Compact"/>
        <w:numPr>
          <w:ilvl w:val="0"/>
          <w:numId w:val="1011"/>
        </w:numPr>
      </w:pPr>
      <w:r>
        <w:t xml:space="preserve">Weather or project delays weaken Q2 organic shipments</w:t>
      </w:r>
    </w:p>
    <w:p>
      <w:pPr>
        <w:pStyle w:val="Compact"/>
        <w:numPr>
          <w:ilvl w:val="0"/>
          <w:numId w:val="1011"/>
        </w:numPr>
      </w:pPr>
      <w:r>
        <w:t xml:space="preserve">Diesel, freight and energy costs overwhelm pricing</w:t>
      </w:r>
    </w:p>
    <w:p>
      <w:pPr>
        <w:pStyle w:val="Compact"/>
        <w:numPr>
          <w:ilvl w:val="0"/>
          <w:numId w:val="1011"/>
        </w:numPr>
      </w:pPr>
      <w:r>
        <w:t xml:space="preserve">Reported unit profitability deteriorates beyond purchase-accounting effects</w:t>
      </w:r>
    </w:p>
    <w:p>
      <w:pPr>
        <w:pStyle w:val="Compact"/>
        <w:numPr>
          <w:ilvl w:val="0"/>
          <w:numId w:val="1011"/>
        </w:numPr>
      </w:pPr>
      <w:r>
        <w:t xml:space="preserve">Guidance is raised only modestly—or not at all</w:t>
      </w:r>
    </w:p>
    <w:p>
      <w:pPr>
        <w:pStyle w:val="Compact"/>
        <w:numPr>
          <w:ilvl w:val="0"/>
          <w:numId w:val="1011"/>
        </w:numPr>
      </w:pPr>
      <w:r>
        <w:t xml:space="preserve">Management offers limited incremental support for the Lhoist valuation and synergy assumptions</w:t>
      </w:r>
    </w:p>
    <w:p>
      <w:pPr>
        <w:pStyle w:val="Compact"/>
        <w:numPr>
          <w:ilvl w:val="0"/>
          <w:numId w:val="1011"/>
        </w:numPr>
      </w:pPr>
      <w:r>
        <w:t xml:space="preserve">Higher financing costs reduce expected deal accretion</w:t>
      </w:r>
    </w:p>
    <w:p>
      <w:r>
        <w:pict>
          <v:rect style="width:0;height:1.5pt" o:hralign="center" o:hrstd="t" o:hr="t"/>
        </w:pict>
      </w:r>
    </w:p>
    <w:bookmarkEnd w:id="30"/>
    <w:bookmarkEnd w:id="31"/>
    <w:bookmarkStart w:id="32" w:name="bottom-line"/>
    <w:p>
      <w:pPr>
        <w:pStyle w:val="Heading2"/>
      </w:pPr>
      <w:r>
        <w:t xml:space="preserve">Bottom line</w:t>
      </w:r>
    </w:p>
    <w:p>
      <w:pPr>
        <w:pStyle w:val="FirstParagraph"/>
      </w:pPr>
      <w:r>
        <w:t xml:space="preserve">The core business appears positioned for a solid quarter: infrastructure and heavy nonresidential demand have been strong, acquired operations add substantial volume, and management entered Q2 sounding increasingly optimistic about full-year performance.</w:t>
      </w:r>
    </w:p>
    <w:p>
      <w:pPr>
        <w:pStyle w:val="BodyText"/>
      </w:pPr>
      <w:r>
        <w:t xml:space="preserve">However, this is</w:t>
      </w:r>
      <w:r>
        <w:t xml:space="preserve"> </w:t>
      </w:r>
      <w:r>
        <w:rPr>
          <w:b/>
          <w:bCs/>
        </w:rPr>
        <w:t xml:space="preserve">not a clean earnings print</w:t>
      </w:r>
      <w:r>
        <w:t xml:space="preserve">. Purchase accounting, acquired-asset mix and diesel inflation could make reported ASP, gross profit per ton and GAAP EPS look weaker than underlying operations. Investors should prioritize organic price-cost performance and the adjusted EBITDA outlook over individual headline metrics.</w:t>
      </w:r>
    </w:p>
    <w:p>
      <w:pPr>
        <w:pStyle w:val="BodyText"/>
      </w:pPr>
      <w:r>
        <w:t xml:space="preserve">The most likely positive catalyst is a</w:t>
      </w:r>
      <w:r>
        <w:t xml:space="preserve"> </w:t>
      </w:r>
      <w:r>
        <w:rPr>
          <w:b/>
          <w:bCs/>
        </w:rPr>
        <w:t xml:space="preserve">meaningful guidance increase supported by both New Frontier and stronger organic performance</w:t>
      </w:r>
      <w:r>
        <w:t xml:space="preserve">. The principal risk is that operating upside is overshadowed by skepticism around the size, financing and execution of the Lhoist acquisition. Ultimately, management’s ability to demonstrate continuing aggregates momentum while making the Lhoist leverage plan credible will probably determine the post-earnings reaction.</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ir.martinmarietta.com/static-files/15b64fbb-a7d6-466f-9990-2bc48133bcac" TargetMode="External" /><Relationship Type="http://schemas.openxmlformats.org/officeDocument/2006/relationships/hyperlink" Id="rId22" Target="https://ir.martinmarietta.com/static-files/cda1eced-0f0b-4524-b03c-f8a243cdaafd?utm_source=openai" TargetMode="External" /><Relationship Type="http://schemas.openxmlformats.org/officeDocument/2006/relationships/hyperlink" Id="rId9" Target="https://www.globenewswire.com/news-release/2026/07/09/3325256/0/en/martin-marietta-announces-second-quarter-2026-earnings-conference-call.html" TargetMode="External" /><Relationship Type="http://schemas.openxmlformats.org/officeDocument/2006/relationships/hyperlink" Id="rId10" Target="https://www.marketbeat.com/earnings/reports/2026-7-30-martin-marietta-materials-inc-stock/" TargetMode="External" /></Relationships>
</file>

<file path=word/_rels/footnotes.xml.rels><?xml version="1.0" encoding="UTF-8"?><Relationships xmlns="http://schemas.openxmlformats.org/package/2006/relationships"><Relationship Type="http://schemas.openxmlformats.org/officeDocument/2006/relationships/hyperlink" Id="rId13" Target="https://ir.martinmarietta.com/static-files/15b64fbb-a7d6-466f-9990-2bc48133bcac" TargetMode="External" /><Relationship Type="http://schemas.openxmlformats.org/officeDocument/2006/relationships/hyperlink" Id="rId22" Target="https://ir.martinmarietta.com/static-files/cda1eced-0f0b-4524-b03c-f8a243cdaafd?utm_source=openai" TargetMode="External" /><Relationship Type="http://schemas.openxmlformats.org/officeDocument/2006/relationships/hyperlink" Id="rId9" Target="https://www.globenewswire.com/news-release/2026/07/09/3325256/0/en/martin-marietta-announces-second-quarter-2026-earnings-conference-call.html" TargetMode="External" /><Relationship Type="http://schemas.openxmlformats.org/officeDocument/2006/relationships/hyperlink" Id="rId10" Target="https://www.marketbeat.com/earnings/reports/2026-7-30-martin-marietta-materials-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2026-07-29T19:00:47Z</dcterms:created>
  <dcterms:modified xsi:type="dcterms:W3CDTF">2026-07-29T19:00:47Z</dcterms:modified>
</cp:coreProperties>
</file>

<file path=docProps/custom.xml><?xml version="1.0" encoding="utf-8"?>
<Properties xmlns="http://schemas.openxmlformats.org/officeDocument/2006/custom-properties" xmlns:vt="http://schemas.openxmlformats.org/officeDocument/2006/docPropsVTypes"/>
</file>