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lm-earnings-predictions--2026-07-30"/>
    <w:p>
      <w:pPr>
        <w:pStyle w:val="Heading1"/>
      </w:pPr>
      <w:r>
        <w:t xml:space="preserve">MLM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~$5.15 vs. cons $5.00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~$1.91bn vs. cons $1.89bn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~$650m vs. cons $637m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~$2.48bn vs. cons $2.42bn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~$7.24bn vs. cons $7.12bn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aggregates volume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~3.0% vs. cons 2.0%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FY2026 EBITDA guide of ~</w:t>
            </w:r>
            <m:oMath>
              <m:r>
                <m:t>2.48</m:t>
              </m:r>
              <m:r>
                <m:t>b</m:t>
              </m:r>
              <m:r>
                <m:t>n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2.42bn consensus implies upward out-period EBITDA and EPS revisions, while a ~</w:t>
            </w:r>
            <m:oMath>
              <m:r>
                <m:t>650</m:t>
              </m:r>
              <m:r>
                <m:t>m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p</m:t>
              </m:r>
              <m:r>
                <m:t>r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637m consensus validates volume, pricing, and acquired-asset contribution despite fuel and purchase-accounting noise.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2026-07-29T18:59:07Z</dcterms:created>
  <dcterms:modified xsi:type="dcterms:W3CDTF">2026-07-29T18:59:07Z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