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3" w:name="X8ffba722fc2b98e94bfa08b1f737edf5ff8a02f"/>
    <w:p>
      <w:pPr>
        <w:pStyle w:val="Heading1"/>
      </w:pPr>
      <w:r>
        <w:t xml:space="preserve">Martin Marietta Materials (NYSE: MLM) — 2Q26 Earnings Preview</w:t>
      </w:r>
    </w:p>
    <w:p>
      <w:pPr>
        <w:pStyle w:val="FirstParagraph"/>
      </w:pPr>
      <w:r>
        <w:rPr>
          <w:b/>
          <w:bCs/>
        </w:rPr>
        <w:t xml:space="preserve">Reports Thursday, July 30, 2026</w:t>
      </w:r>
    </w:p>
    <w:bookmarkStart w:id="9" w:name="bottom-line"/>
    <w:p>
      <w:pPr>
        <w:pStyle w:val="Heading2"/>
      </w:pPr>
      <w:r>
        <w:t xml:space="preserve">Bottom line</w:t>
      </w:r>
    </w:p>
    <w:p>
      <w:pPr>
        <w:pStyle w:val="FirstParagraph"/>
      </w:pPr>
      <w:r>
        <w:t xml:space="preserve">MLM enters 2Q with</w:t>
      </w:r>
      <w:r>
        <w:t xml:space="preserve"> </w:t>
      </w:r>
      <w:r>
        <w:rPr>
          <w:b/>
          <w:bCs/>
        </w:rPr>
        <w:t xml:space="preserve">operational momentum that appears stronger than its standing full-year guide</w:t>
      </w:r>
      <w:r>
        <w:t xml:space="preserve">, but the reported quarter will be unusually noisy. The central investment question is not simply whether the company beats on EPS: it is whether management converts its favorable April commentary, robust infrastructure/nonresidential demand, and recently implemented pricing into a</w:t>
      </w:r>
      <w:r>
        <w:t xml:space="preserve"> </w:t>
      </w:r>
      <w:r>
        <w:rPr>
          <w:b/>
          <w:bCs/>
        </w:rPr>
        <w:t xml:space="preserve">midyear increase to 2026 EBITDA guidance</w:t>
      </w:r>
      <w:r>
        <w:t xml:space="preserve">—while explaining the earnings, cash-flow, and leverage implications of the pending Lhoist North America acquisition.</w:t>
      </w:r>
    </w:p>
    <w:p>
      <w:pPr>
        <w:pStyle w:val="BodyText"/>
      </w:pPr>
      <w:r>
        <w:t xml:space="preserve">The setup is constructive for core aggregates. In April, management said shipment trends were running at the high end of its full-year range, April demand remained strong, and the mix was shifting back toward higher-ASP East markets. However, 2Q will include a meaningful remaining Quikrete purchase-accounting inventory-markup charge and elevated diesel costs, which could obscure otherwise healthy gross-profit performance.</w:t>
      </w:r>
    </w:p>
    <w:bookmarkEnd w:id="9"/>
    <w:bookmarkStart w:id="15" w:name="what-matters-most-this-quarter"/>
    <w:p>
      <w:pPr>
        <w:pStyle w:val="Heading2"/>
      </w:pPr>
      <w:r>
        <w:t xml:space="preserve">What matters most this quarter</w:t>
      </w:r>
    </w:p>
    <w:bookmarkStart w:id="10" w:name="Xcc65bcbb8de85397973e0472bed75db75c499e4"/>
    <w:p>
      <w:pPr>
        <w:pStyle w:val="Heading3"/>
      </w:pPr>
      <w:r>
        <w:t xml:space="preserve">1. Guidance: the main catalyst</w:t>
      </w:r>
    </w:p>
    <w:p>
      <w:pPr>
        <w:pStyle w:val="FirstParagraph"/>
      </w:pPr>
      <w:r>
        <w:t xml:space="preserve">At 1Q, MLM reaffirmed 2026 guidance of: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2026 guidance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Low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Midpoint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Revenue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$7.00bn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$7.16bn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$7.32bn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$2.36bn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$2.43bn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$2.50bn</w:t>
            </w:r>
          </w:p>
        </w:tc>
      </w:tr>
      <w:tr>
        <w:tc>
          <w:tcPr/>
          <w:p>
            <w:pPr>
              <w:pStyle w:val="Compact"/>
            </w:pPr>
            <w:r>
              <w:t xml:space="preserve">Aggregates volume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aggregates volume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3%</w:t>
            </w:r>
          </w:p>
        </w:tc>
      </w:tr>
      <w:tr>
        <w:tc>
          <w:tcPr/>
          <w:p>
            <w:pPr>
              <w:pStyle w:val="Compact"/>
            </w:pPr>
            <w:r>
              <w:t xml:space="preserve">Aggregates ASP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1.5%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2.5%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3.5%</w:t>
            </w:r>
          </w:p>
        </w:tc>
      </w:tr>
      <w:tr>
        <w:tc>
          <w:tcPr/>
          <w:p>
            <w:pPr>
              <w:pStyle w:val="Compact"/>
            </w:pPr>
            <w:r>
              <w:t xml:space="preserve">Organic aggregates ASP growth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4%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5%</w:t>
            </w:r>
          </w:p>
        </w:tc>
        <w:tc>
          <w:tcPr/>
          <w:p>
            <w:pPr>
              <w:pStyle w:val="Compact"/>
              <w:jc w:val="right"/>
            </w:pPr>
            <w:r>
              <w:t xml:space="preserve">6%</w:t>
            </w:r>
          </w:p>
        </w:tc>
      </w:tr>
    </w:tbl>
    <w:p>
      <w:pPr>
        <w:pStyle w:val="BodyText"/>
      </w:pPr>
      <w:r>
        <w:t xml:space="preserve">The company explicitly characterized several items as potential upside when it reported 1Q: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Volume trending toward the high end</w:t>
      </w:r>
      <w:r>
        <w:t xml:space="preserve"> </w:t>
      </w:r>
      <w:r>
        <w:t xml:space="preserve">of guidance;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Broad-based midyear aggregates price increases</w:t>
      </w:r>
      <w:r>
        <w:t xml:space="preserve">, which were not incorporated in the original guide;</w:t>
      </w:r>
    </w:p>
    <w:p>
      <w:pPr>
        <w:pStyle w:val="Compact"/>
        <w:numPr>
          <w:ilvl w:val="0"/>
          <w:numId w:val="1001"/>
        </w:numPr>
      </w:pPr>
      <w:r>
        <w:t xml:space="preserve">Further benefits from</w:t>
      </w:r>
      <w:r>
        <w:t xml:space="preserve"> </w:t>
      </w:r>
      <w:r>
        <w:rPr>
          <w:b/>
          <w:bCs/>
        </w:rPr>
        <w:t xml:space="preserve">network optimization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Contributions from</w:t>
      </w:r>
      <w:r>
        <w:t xml:space="preserve"> </w:t>
      </w:r>
      <w:r>
        <w:rPr>
          <w:b/>
          <w:bCs/>
        </w:rPr>
        <w:t xml:space="preserve">New Frontier Materials</w:t>
      </w:r>
      <w:r>
        <w:t xml:space="preserve">, which were excluded from the April full-year outlook because the deal had not then closed.</w:t>
      </w:r>
    </w:p>
    <w:p>
      <w:pPr>
        <w:pStyle w:val="FirstParagraph"/>
      </w:pPr>
      <w:r>
        <w:t xml:space="preserve">The bar for a positive read-through is therefore a guide increase, or at minimum a more explicit statement that the prior midpoint is conservative. A mere reaffirmation could disappoint if management does not preserve a clearly positive outlook for volumes, price realization, and margins into the second half.</w:t>
      </w:r>
    </w:p>
    <w:bookmarkEnd w:id="10"/>
    <w:bookmarkStart w:id="11" w:name="Xfa6bc746841bf6cba03550c93a6cd9ef5d2ab9f"/>
    <w:p>
      <w:pPr>
        <w:pStyle w:val="Heading3"/>
      </w:pPr>
      <w:r>
        <w:t xml:space="preserve">2. Aggregates price/cost recovery must become visible</w:t>
      </w:r>
    </w:p>
    <w:p>
      <w:pPr>
        <w:pStyle w:val="FirstParagraph"/>
      </w:pPr>
      <w:r>
        <w:t xml:space="preserve">1Q reported aggregates ASP was flat year over year at</w:t>
      </w:r>
      <w:r>
        <w:t xml:space="preserve"> </w:t>
      </w:r>
      <w:r>
        <w:rPr>
          <w:b/>
          <w:bCs/>
        </w:rPr>
        <w:t xml:space="preserve">$23.70/ton</w:t>
      </w:r>
      <w:r>
        <w:t xml:space="preserve">, despite healthy underlying pricing. The culprit was geographic and acquisition mix: exceptionally strong Central and West volumes carry lower reported ASPs and margins than East and Southwest markets.</w:t>
      </w:r>
    </w:p>
    <w:p>
      <w:pPr>
        <w:pStyle w:val="BodyText"/>
      </w:pPr>
      <w:r>
        <w:t xml:space="preserve">For 2Q, investors should look for:</w:t>
      </w:r>
    </w:p>
    <w:p>
      <w:pPr>
        <w:pStyle w:val="Compact"/>
        <w:numPr>
          <w:ilvl w:val="0"/>
          <w:numId w:val="1002"/>
        </w:numPr>
      </w:pPr>
      <w:r>
        <w:t xml:space="preserve">A return to</w:t>
      </w:r>
      <w:r>
        <w:t xml:space="preserve"> </w:t>
      </w:r>
      <w:r>
        <w:rPr>
          <w:b/>
          <w:bCs/>
        </w:rPr>
        <w:t xml:space="preserve">reported ASP growth</w:t>
      </w:r>
      <w:r>
        <w:t xml:space="preserve">, supported by the April 1 price increase and the higher-ASP East mix;</w:t>
      </w:r>
    </w:p>
    <w:p>
      <w:pPr>
        <w:pStyle w:val="Compact"/>
        <w:numPr>
          <w:ilvl w:val="0"/>
          <w:numId w:val="1002"/>
        </w:numPr>
      </w:pPr>
      <w:r>
        <w:t xml:space="preserve">Evidence that announced</w:t>
      </w:r>
      <w:r>
        <w:t xml:space="preserve"> </w:t>
      </w:r>
      <w:r>
        <w:rPr>
          <w:b/>
          <w:bCs/>
        </w:rPr>
        <w:t xml:space="preserve">midyear price actions</w:t>
      </w:r>
      <w:r>
        <w:t xml:space="preserve"> </w:t>
      </w:r>
      <w:r>
        <w:t xml:space="preserve">are gaining customer acceptance, especially in newly acquired Quikrete markets;</w:t>
      </w:r>
    </w:p>
    <w:p>
      <w:pPr>
        <w:pStyle w:val="Compact"/>
        <w:numPr>
          <w:ilvl w:val="0"/>
          <w:numId w:val="1002"/>
        </w:numPr>
      </w:pPr>
      <w:r>
        <w:t xml:space="preserve">Underlying cost-per-ton discipline, excluding external freight, acquired DD&amp;A, and purchase-accounting effects;</w:t>
      </w:r>
    </w:p>
    <w:p>
      <w:pPr>
        <w:pStyle w:val="Compact"/>
        <w:numPr>
          <w:ilvl w:val="0"/>
          <w:numId w:val="1002"/>
        </w:numPr>
      </w:pPr>
      <w:r>
        <w:t xml:space="preserve">Confirmation that pricing remains sufficient to offset diesel and other input-cost pressure.</w:t>
      </w:r>
    </w:p>
    <w:p>
      <w:pPr>
        <w:pStyle w:val="FirstParagraph"/>
      </w:pPr>
      <w:r>
        <w:t xml:space="preserve">Management indicated in April that aggregate-related diesel headwinds could total roughly</w:t>
      </w:r>
      <w:r>
        <w:t xml:space="preserve"> </w:t>
      </w:r>
      <m:oMath>
        <m:r>
          <m:t>36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f</m:t>
        </m:r>
        <m:r>
          <m:t>o</m:t>
        </m:r>
        <m:r>
          <m:t>r</m:t>
        </m:r>
        <m:r>
          <m:t>2026</m:t>
        </m:r>
        <m:r>
          <m:rPr>
            <m:sty m:val="p"/>
          </m:rPr>
          <m:t>,</m:t>
        </m:r>
        <m:r>
          <m:t>w</m:t>
        </m:r>
        <m:r>
          <m:t>i</m:t>
        </m:r>
        <m:r>
          <m:t>t</m:t>
        </m:r>
        <m:r>
          <m:t>h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20–$25 million concentrated in 2Q</w:t>
      </w:r>
      <w:r>
        <w:t xml:space="preserve">. That makes the quarter a key test of MLM’s pricing power and operational cost controls.</w:t>
      </w:r>
    </w:p>
    <w:bookmarkEnd w:id="11"/>
    <w:bookmarkStart w:id="12" w:name="X1bbe75a0fbbdf5cc6a8a97ac0f19bbd6f25e64a"/>
    <w:p>
      <w:pPr>
        <w:pStyle w:val="Heading3"/>
      </w:pPr>
      <w:r>
        <w:t xml:space="preserve">3. Volume strength: distinguish durable demand from weather pull-forward</w:t>
      </w:r>
    </w:p>
    <w:p>
      <w:pPr>
        <w:pStyle w:val="FirstParagraph"/>
      </w:pPr>
      <w:r>
        <w:t xml:space="preserve">1Q organic aggregates shipments rose</w:t>
      </w:r>
      <w:r>
        <w:t xml:space="preserve"> </w:t>
      </w:r>
      <w:r>
        <w:rPr>
          <w:b/>
          <w:bCs/>
        </w:rPr>
        <w:t xml:space="preserve">7.2%</w:t>
      </w:r>
      <w:r>
        <w:t xml:space="preserve">, well above the full-year 1–3% organic guide, helped by an early construction season in the Midwest and Colorado. Management also said April daily shipment trends stayed above expectations.</w:t>
      </w:r>
    </w:p>
    <w:p>
      <w:pPr>
        <w:pStyle w:val="BodyText"/>
      </w:pPr>
      <w:r>
        <w:t xml:space="preserve">The favorable demand indicators are broad: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Infrastructure:</w:t>
      </w:r>
      <w:r>
        <w:t xml:space="preserve"> </w:t>
      </w:r>
      <w:r>
        <w:t xml:space="preserve">highway and streets tonnage increased 23% in 1Q, according to management;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Heavy nonresidential:</w:t>
      </w:r>
      <w:r>
        <w:t xml:space="preserve"> </w:t>
      </w:r>
      <w:r>
        <w:t xml:space="preserve">data centers, warehouse/distribution, LNG, power, and energy-related projects remain important supports;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Private construction:</w:t>
      </w:r>
      <w:r>
        <w:t xml:space="preserve"> </w:t>
      </w:r>
      <w:r>
        <w:t xml:space="preserve">residential and light commercial remain soft, but these are not required for the company to achieve its 2026 plan.</w:t>
      </w:r>
    </w:p>
    <w:p>
      <w:pPr>
        <w:pStyle w:val="FirstParagraph"/>
      </w:pPr>
      <w:r>
        <w:t xml:space="preserve">The key risk is that some 1Q strength reflected favorable weather and earlier project timing rather than a higher full-year demand run rate. Management’s regional commentary—particularly on East Division activity, public spending, rail-terminal volumes, LNG, and large data-center projects—will help investors judge the durability of the volume story.</w:t>
      </w:r>
    </w:p>
    <w:bookmarkEnd w:id="12"/>
    <w:bookmarkStart w:id="13" w:name="Xdfc70287683ebe177916df13fc1fae6389555d5"/>
    <w:p>
      <w:pPr>
        <w:pStyle w:val="Heading3"/>
      </w:pPr>
      <w:r>
        <w:t xml:space="preserve">4. Expect GAAP results to look worse than underlying operations</w:t>
      </w:r>
    </w:p>
    <w:p>
      <w:pPr>
        <w:pStyle w:val="FirstParagraph"/>
      </w:pPr>
      <w:r>
        <w:t xml:space="preserve">The Quikrete asset exchange closed February 23, 2026. In 1Q it contributed approximately one month of EBITDA and performed above MLM’s original expectations, but it also created a</w:t>
      </w:r>
      <w:r>
        <w:t xml:space="preserve"> </w:t>
      </w:r>
      <m:oMath>
        <m:r>
          <m:t>22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i</m:t>
        </m:r>
        <m:r>
          <m:t>n</m:t>
        </m:r>
        <m:r>
          <m:t>v</m:t>
        </m:r>
        <m:r>
          <m:t>e</m:t>
        </m:r>
        <m:r>
          <m:t>n</m:t>
        </m:r>
        <m:r>
          <m:t>t</m:t>
        </m:r>
        <m:r>
          <m:t>o</m:t>
        </m:r>
        <m:r>
          <m:t>r</m:t>
        </m:r>
        <m:r>
          <m:t>y</m:t>
        </m:r>
        <m:r>
          <m:t>f</m:t>
        </m:r>
        <m:r>
          <m:t>a</m:t>
        </m:r>
        <m:r>
          <m:t>i</m:t>
        </m:r>
        <m:r>
          <m:t>r</m:t>
        </m:r>
        <m:r>
          <m:rPr>
            <m:sty m:val="p"/>
          </m:rPr>
          <m:t>−</m:t>
        </m:r>
        <m:r>
          <m:t>v</m:t>
        </m:r>
        <m:r>
          <m:t>a</m:t>
        </m:r>
        <m:r>
          <m:t>l</m:t>
        </m:r>
        <m:r>
          <m:t>u</m:t>
        </m:r>
        <m:r>
          <m:t>e</m:t>
        </m:r>
        <m:r>
          <m:t>m</m:t>
        </m:r>
        <m:r>
          <m:t>a</m:t>
        </m:r>
        <m:r>
          <m:t>r</m:t>
        </m:r>
        <m:r>
          <m:t>k</m:t>
        </m:r>
        <m:r>
          <m:t>u</m:t>
        </m:r>
        <m:r>
          <m:t>p</m:t>
        </m:r>
        <m:r>
          <m:t>e</m:t>
        </m:r>
        <m:r>
          <m:t>x</m:t>
        </m:r>
        <m:r>
          <m:t>p</m:t>
        </m:r>
        <m:r>
          <m:t>e</m:t>
        </m:r>
        <m:r>
          <m:t>n</m:t>
        </m:r>
        <m:r>
          <m:t>s</m:t>
        </m:r>
        <m:r>
          <m:t>e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.</m:t>
        </m:r>
        <m:r>
          <m:t>M</m:t>
        </m:r>
        <m:r>
          <m:t>a</m:t>
        </m:r>
        <m:r>
          <m:t>n</m:t>
        </m:r>
        <m:r>
          <m:t>a</m:t>
        </m:r>
        <m:r>
          <m:t>g</m:t>
        </m:r>
        <m:r>
          <m:t>e</m:t>
        </m:r>
        <m:r>
          <m:t>m</m:t>
        </m:r>
        <m:r>
          <m:t>e</m:t>
        </m:r>
        <m:r>
          <m:t>n</m:t>
        </m:r>
        <m:r>
          <m:t>t</m:t>
        </m:r>
        <m:r>
          <m:t>s</m:t>
        </m:r>
        <m:r>
          <m:t>a</m:t>
        </m:r>
        <m:r>
          <m:t>i</m:t>
        </m:r>
        <m:r>
          <m:t>d</m:t>
        </m:r>
        <m:r>
          <m:t>a</m:t>
        </m:r>
        <m:r>
          <m:t>p</m:t>
        </m:r>
        <m:r>
          <m:t>p</m:t>
        </m:r>
        <m:r>
          <m:t>r</m:t>
        </m:r>
        <m:r>
          <m:t>o</m:t>
        </m:r>
        <m:r>
          <m:t>x</m:t>
        </m:r>
        <m:r>
          <m:t>i</m:t>
        </m:r>
        <m:r>
          <m:t>m</m:t>
        </m:r>
        <m:r>
          <m:t>a</m:t>
        </m:r>
        <m:r>
          <m:t>t</m:t>
        </m:r>
        <m:r>
          <m:t>e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44 million remained to be recognized in 2Q</w:t>
      </w:r>
      <w:r>
        <w:t xml:space="preserve">.</w:t>
      </w:r>
    </w:p>
    <w:p>
      <w:pPr>
        <w:pStyle w:val="BodyText"/>
      </w:pPr>
      <w:r>
        <w:t xml:space="preserve">That has two implications: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Reported gross profit and GAAP EPS may understate underlying economics.</w:t>
      </w:r>
    </w:p>
    <w:p>
      <w:pPr>
        <w:pStyle w:val="Compact"/>
        <w:numPr>
          <w:ilvl w:val="0"/>
          <w:numId w:val="1004"/>
        </w:numPr>
      </w:pPr>
      <w:r>
        <w:t xml:space="preserve">Investors should focus on adjusted EBITDA, adjusted EPS, unit profitability excluding purchase accounting, and the acquired asset margin profile—not just the headline GAAP comparison.</w:t>
      </w:r>
    </w:p>
    <w:p>
      <w:pPr>
        <w:pStyle w:val="FirstParagraph"/>
      </w:pPr>
      <w:r>
        <w:t xml:space="preserve">In 2Q25, MLM generated $630 million of adjusted EBITDA, $5.43 of diluted EPS, and aggregates gross profit of $8.16 per ton. But year-over-year comparisons are not clean because the prior-year portfolio included cement, ready-mix, and downstream assets that have since been divested, while 2026 includes Quikrete and New Frontier contributions.</w:t>
      </w:r>
    </w:p>
    <w:bookmarkEnd w:id="13"/>
    <w:bookmarkStart w:id="14" w:name="X935d3e0f95061426edb99f1f0dcca35f7187517"/>
    <w:p>
      <w:pPr>
        <w:pStyle w:val="Heading3"/>
      </w:pPr>
      <w:r>
        <w:t xml:space="preserve">5. New Frontier contribution and revised portfolio reporting</w:t>
      </w:r>
    </w:p>
    <w:p>
      <w:pPr>
        <w:pStyle w:val="FirstParagraph"/>
      </w:pPr>
      <w:r>
        <w:t xml:space="preserve">New Frontier Materials closed on</w:t>
      </w:r>
      <w:r>
        <w:t xml:space="preserve"> </w:t>
      </w:r>
      <w:r>
        <w:rPr>
          <w:b/>
          <w:bCs/>
        </w:rPr>
        <w:t xml:space="preserve">May 15, 2026</w:t>
      </w:r>
      <w:r>
        <w:t xml:space="preserve">, meaning 2Q should include roughly six weeks of contribution. The acquisition adds an aggregates-led business around the St. Louis/I-70 corridor and complements Quikrete’s Missouri and Kansas assets.</w:t>
      </w:r>
    </w:p>
    <w:p>
      <w:pPr>
        <w:pStyle w:val="BodyText"/>
      </w:pPr>
      <w:r>
        <w:t xml:space="preserve">Important items to watch:</w:t>
      </w:r>
    </w:p>
    <w:p>
      <w:pPr>
        <w:pStyle w:val="Compact"/>
        <w:numPr>
          <w:ilvl w:val="0"/>
          <w:numId w:val="1005"/>
        </w:numPr>
      </w:pPr>
      <w:r>
        <w:t xml:space="preserve">Whether MLM quantifies New Frontier’s 2Q contribution and provides a run-rate EBITDA framework;</w:t>
      </w:r>
    </w:p>
    <w:p>
      <w:pPr>
        <w:pStyle w:val="Compact"/>
        <w:numPr>
          <w:ilvl w:val="0"/>
          <w:numId w:val="1005"/>
        </w:numPr>
      </w:pPr>
      <w:r>
        <w:t xml:space="preserve">The degree of early operational or commercial synergy;</w:t>
      </w:r>
    </w:p>
    <w:p>
      <w:pPr>
        <w:pStyle w:val="Compact"/>
        <w:numPr>
          <w:ilvl w:val="0"/>
          <w:numId w:val="1005"/>
        </w:numPr>
      </w:pPr>
      <w:r>
        <w:t xml:space="preserve">Whether the transaction’s inclusion enables an upward revision to 2026 EBITDA guidance;</w:t>
      </w:r>
    </w:p>
    <w:p>
      <w:pPr>
        <w:pStyle w:val="Compact"/>
        <w:numPr>
          <w:ilvl w:val="0"/>
          <w:numId w:val="1005"/>
        </w:numPr>
      </w:pPr>
      <w:r>
        <w:t xml:space="preserve">Any changes to segment disclosures or reported pricing/margin mix that affect model comparability.</w:t>
      </w:r>
    </w:p>
    <w:bookmarkEnd w:id="14"/>
    <w:bookmarkEnd w:id="15"/>
    <w:bookmarkStart w:id="16" w:name="Xa98d5b57d9a8b4cb7bfa6341917bc4ac01342ad"/>
    <w:p>
      <w:pPr>
        <w:pStyle w:val="Heading2"/>
      </w:pPr>
      <w:r>
        <w:t xml:space="preserve">Lhoist: the strategic issue likely to dominate the call</w:t>
      </w:r>
    </w:p>
    <w:p>
      <w:pPr>
        <w:pStyle w:val="FirstParagraph"/>
      </w:pPr>
      <w:r>
        <w:t xml:space="preserve">On June 29, MLM announced an agreement to acquire</w:t>
      </w:r>
      <w:r>
        <w:t xml:space="preserve"> </w:t>
      </w:r>
      <w:r>
        <w:rPr>
          <w:b/>
          <w:bCs/>
        </w:rPr>
        <w:t xml:space="preserve">Lhoist North America</w:t>
      </w:r>
      <w:r>
        <w:t xml:space="preserve"> </w:t>
      </w:r>
      <w:r>
        <w:t xml:space="preserve">for **</w:t>
      </w:r>
      <m:oMath>
        <m:r>
          <m:t>13.5</m:t>
        </m:r>
        <m:r>
          <m:t>b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—</m:t>
        </m:r>
      </m:oMath>
      <w:r>
        <w:t xml:space="preserve">7.0 billion in cash and $6.5 billion in MLM stock—subject to regulatory approval and targeted for a second-half 2026 close.</w:t>
      </w:r>
    </w:p>
    <w:p>
      <w:pPr>
        <w:pStyle w:val="BodyText"/>
      </w:pPr>
      <w:r>
        <w:t xml:space="preserve">The transaction would be transformational:</w:t>
      </w:r>
    </w:p>
    <w:p>
      <w:pPr>
        <w:pStyle w:val="Compact"/>
        <w:numPr>
          <w:ilvl w:val="0"/>
          <w:numId w:val="1006"/>
        </w:numPr>
      </w:pPr>
      <w:r>
        <w:t xml:space="preserve">Lhoist generated approximately</w:t>
      </w:r>
      <w:r>
        <w:t xml:space="preserve"> </w:t>
      </w:r>
      <m:oMath>
        <m:r>
          <m:t>786</m:t>
        </m:r>
        <m:r>
          <m:t>m</m:t>
        </m:r>
        <m:r>
          <m:t>i</m:t>
        </m:r>
        <m:r>
          <m:t>l</m:t>
        </m:r>
        <m:r>
          <m:t>l</m:t>
        </m:r>
        <m:r>
          <m:t>i</m:t>
        </m:r>
        <m:r>
          <m:t>o</m:t>
        </m:r>
        <m:r>
          <m:t>n</m:t>
        </m:r>
        <m:r>
          <m:t>o</m:t>
        </m:r>
        <m:r>
          <m:t>f</m:t>
        </m:r>
        <m:r>
          <m:t>2025</m:t>
        </m:r>
        <m:r>
          <m:t>a</m:t>
        </m:r>
        <m:r>
          <m:t>d</m:t>
        </m:r>
        <m:r>
          <m:t>j</m:t>
        </m:r>
        <m:r>
          <m:t>u</m:t>
        </m:r>
        <m:r>
          <m:t>s</m:t>
        </m:r>
        <m:r>
          <m:t>t</m:t>
        </m:r>
        <m:r>
          <m:t>e</m:t>
        </m:r>
        <m:r>
          <m:t>d</m:t>
        </m:r>
        <m:r>
          <m:t>E</m:t>
        </m:r>
        <m:r>
          <m:t>B</m:t>
        </m:r>
        <m:r>
          <m:t>I</m:t>
        </m:r>
        <m:r>
          <m:t>T</m:t>
        </m:r>
        <m:r>
          <m:t>D</m:t>
        </m:r>
        <m:r>
          <m:t>A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o</m:t>
        </m:r>
        <m:r>
          <m:t>n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</m:oMath>
      <w:r>
        <w:rPr>
          <w:b/>
          <w:bCs/>
        </w:rPr>
        <w:t xml:space="preserve">1.8 billion of gross sales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MLM expects approximately</w:t>
      </w:r>
      <w:r>
        <w:t xml:space="preserve"> </w:t>
      </w:r>
      <w:r>
        <w:rPr>
          <w:b/>
          <w:bCs/>
        </w:rPr>
        <w:t xml:space="preserve">$85 million of annual run-rate cost synergies by year two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Management has framed the deal as accretive to margins and earnings in the first full year after closing, excluding transaction costs and purchase-accounting effects;</w:t>
      </w:r>
    </w:p>
    <w:p>
      <w:pPr>
        <w:pStyle w:val="Compact"/>
        <w:numPr>
          <w:ilvl w:val="0"/>
          <w:numId w:val="1006"/>
        </w:numPr>
      </w:pPr>
      <w:r>
        <w:t xml:space="preserve">Expected combined net leverage is approximately</w:t>
      </w:r>
      <w:r>
        <w:t xml:space="preserve"> </w:t>
      </w:r>
      <w:r>
        <w:rPr>
          <w:b/>
          <w:bCs/>
        </w:rPr>
        <w:t xml:space="preserve">3.7x at closing</w:t>
      </w:r>
      <w:r>
        <w:t xml:space="preserve">, with a target below</w:t>
      </w:r>
      <w:r>
        <w:t xml:space="preserve"> </w:t>
      </w:r>
      <w:r>
        <w:rPr>
          <w:b/>
          <w:bCs/>
        </w:rPr>
        <w:t xml:space="preserve">2.5x within 24 months</w:t>
      </w:r>
      <w:r>
        <w:t xml:space="preserve">.</w:t>
      </w:r>
    </w:p>
    <w:p>
      <w:pPr>
        <w:pStyle w:val="FirstParagraph"/>
      </w:pPr>
      <w:r>
        <w:t xml:space="preserve">MLM has subsequently arranged a</w:t>
      </w:r>
      <w:r>
        <w:t xml:space="preserve"> </w:t>
      </w:r>
      <w:r>
        <w:rPr>
          <w:b/>
          <w:bCs/>
        </w:rPr>
        <w:t xml:space="preserve">$1.5 billion, three-year unsecured term loan facility</w:t>
      </w:r>
      <w:r>
        <w:t xml:space="preserve"> </w:t>
      </w:r>
      <w:r>
        <w:t xml:space="preserve">and amended its revolving-credit covenant structure to permit higher leverage following a closing. That removes a financing uncertainty, but it also puts a larger premium on cash generation, integration discipline, regulatory execution, and retaining investment-grade credit metrics.</w:t>
      </w:r>
    </w:p>
    <w:p>
      <w:pPr>
        <w:pStyle w:val="BodyText"/>
      </w:pPr>
      <w:r>
        <w:rPr>
          <w:b/>
          <w:bCs/>
        </w:rPr>
        <w:t xml:space="preserve">What investors need from the July 30 call:</w:t>
      </w:r>
    </w:p>
    <w:p>
      <w:pPr>
        <w:pStyle w:val="Compact"/>
        <w:numPr>
          <w:ilvl w:val="0"/>
          <w:numId w:val="1007"/>
        </w:numPr>
      </w:pPr>
      <w:r>
        <w:t xml:space="preserve">Confirmation of the anticipated closing window and regulatory process;</w:t>
      </w:r>
    </w:p>
    <w:p>
      <w:pPr>
        <w:pStyle w:val="Compact"/>
        <w:numPr>
          <w:ilvl w:val="0"/>
          <w:numId w:val="1007"/>
        </w:numPr>
      </w:pPr>
      <w:r>
        <w:t xml:space="preserve">Any indication of deal-related costs expected in 2H26;</w:t>
      </w:r>
    </w:p>
    <w:p>
      <w:pPr>
        <w:pStyle w:val="Compact"/>
        <w:numPr>
          <w:ilvl w:val="0"/>
          <w:numId w:val="1007"/>
        </w:numPr>
      </w:pPr>
      <w:r>
        <w:t xml:space="preserve">More detail on financing mix, expected interest expense, and the deleveraging path;</w:t>
      </w:r>
    </w:p>
    <w:p>
      <w:pPr>
        <w:pStyle w:val="Compact"/>
        <w:numPr>
          <w:ilvl w:val="0"/>
          <w:numId w:val="1007"/>
        </w:numPr>
      </w:pPr>
      <w:r>
        <w:t xml:space="preserve">Whether management’s capital-allocation priorities change while leverage is elevated—particularly the pace of share repurchases and incremental M&amp;A;</w:t>
      </w:r>
    </w:p>
    <w:p>
      <w:pPr>
        <w:pStyle w:val="Compact"/>
        <w:numPr>
          <w:ilvl w:val="0"/>
          <w:numId w:val="1007"/>
        </w:numPr>
      </w:pPr>
      <w:r>
        <w:t xml:space="preserve">Clarification that the 2026 operating guide remains on a standalone basis, apart from New Frontier.</w:t>
      </w:r>
    </w:p>
    <w:bookmarkEnd w:id="16"/>
    <w:bookmarkStart w:id="20" w:name="earnings-setup-bull-base-and-bear-cases"/>
    <w:p>
      <w:pPr>
        <w:pStyle w:val="Heading2"/>
      </w:pPr>
      <w:r>
        <w:t xml:space="preserve">Earnings setup: bull, base, and bear cases</w:t>
      </w:r>
    </w:p>
    <w:bookmarkStart w:id="17" w:name="bull-case"/>
    <w:p>
      <w:pPr>
        <w:pStyle w:val="Heading3"/>
      </w:pPr>
      <w:r>
        <w:t xml:space="preserve">Bull case</w:t>
      </w:r>
    </w:p>
    <w:p>
      <w:pPr>
        <w:pStyle w:val="Compact"/>
        <w:numPr>
          <w:ilvl w:val="0"/>
          <w:numId w:val="1008"/>
        </w:numPr>
      </w:pPr>
      <w:r>
        <w:t xml:space="preserve">Organic volume remains materially above plan, with strong infrastructure and heavy nonresidential demand extending beyond weather-related 1Q benefits.</w:t>
      </w:r>
    </w:p>
    <w:p>
      <w:pPr>
        <w:pStyle w:val="Compact"/>
        <w:numPr>
          <w:ilvl w:val="0"/>
          <w:numId w:val="1008"/>
        </w:numPr>
      </w:pPr>
      <w:r>
        <w:t xml:space="preserve">Reported pricing visibly recovers as East mix normalizes and midyear price initiatives take hold.</w:t>
      </w:r>
    </w:p>
    <w:p>
      <w:pPr>
        <w:pStyle w:val="Compact"/>
        <w:numPr>
          <w:ilvl w:val="0"/>
          <w:numId w:val="1008"/>
        </w:numPr>
      </w:pPr>
      <w:r>
        <w:t xml:space="preserve">Quikrete delivers another quarter of above-plan margins; New Frontier contributes earlier or more strongly than expected.</w:t>
      </w:r>
    </w:p>
    <w:p>
      <w:pPr>
        <w:pStyle w:val="Compact"/>
        <w:numPr>
          <w:ilvl w:val="0"/>
          <w:numId w:val="1008"/>
        </w:numPr>
      </w:pPr>
      <w:r>
        <w:t xml:space="preserve">MLM raises 2026 EBITDA guidance and provides confidence that price/cost spread expansion remains intact despite diesel.</w:t>
      </w:r>
    </w:p>
    <w:p>
      <w:pPr>
        <w:pStyle w:val="Compact"/>
        <w:numPr>
          <w:ilvl w:val="0"/>
          <w:numId w:val="1008"/>
        </w:numPr>
      </w:pPr>
      <w:r>
        <w:t xml:space="preserve">Lhoist closing, financing, leverage, and synergy milestones appear fully on track.</w:t>
      </w:r>
    </w:p>
    <w:bookmarkEnd w:id="17"/>
    <w:bookmarkStart w:id="18" w:name="base-case"/>
    <w:p>
      <w:pPr>
        <w:pStyle w:val="Heading3"/>
      </w:pPr>
      <w:r>
        <w:t xml:space="preserve">Base case</w:t>
      </w:r>
    </w:p>
    <w:p>
      <w:pPr>
        <w:pStyle w:val="Compact"/>
        <w:numPr>
          <w:ilvl w:val="0"/>
          <w:numId w:val="1009"/>
        </w:numPr>
      </w:pPr>
      <w:r>
        <w:t xml:space="preserve">Core operations are healthy, but management retains guidance while it waits for better second-half volume and pricing visibility.</w:t>
      </w:r>
    </w:p>
    <w:p>
      <w:pPr>
        <w:pStyle w:val="Compact"/>
        <w:numPr>
          <w:ilvl w:val="0"/>
          <w:numId w:val="1009"/>
        </w:numPr>
      </w:pPr>
      <w:r>
        <w:t xml:space="preserve">Reported gross profit is burdened by the remaining Quikrete inventory markup and higher fuel costs.</w:t>
      </w:r>
    </w:p>
    <w:p>
      <w:pPr>
        <w:pStyle w:val="Compact"/>
        <w:numPr>
          <w:ilvl w:val="0"/>
          <w:numId w:val="1009"/>
        </w:numPr>
      </w:pPr>
      <w:r>
        <w:t xml:space="preserve">Management reaffirms confidence in midyear pricing, network optimization, and New Frontier, but does not quantify enough upside to drive a large estimate reset.</w:t>
      </w:r>
    </w:p>
    <w:p>
      <w:pPr>
        <w:pStyle w:val="Compact"/>
        <w:numPr>
          <w:ilvl w:val="0"/>
          <w:numId w:val="1009"/>
        </w:numPr>
      </w:pPr>
      <w:r>
        <w:t xml:space="preserve">Lhoist commentary remains largely procedural.</w:t>
      </w:r>
    </w:p>
    <w:bookmarkEnd w:id="18"/>
    <w:bookmarkStart w:id="19" w:name="bear-case"/>
    <w:p>
      <w:pPr>
        <w:pStyle w:val="Heading3"/>
      </w:pPr>
      <w:r>
        <w:t xml:space="preserve">Bear case</w:t>
      </w:r>
    </w:p>
    <w:p>
      <w:pPr>
        <w:pStyle w:val="Compact"/>
        <w:numPr>
          <w:ilvl w:val="0"/>
          <w:numId w:val="1010"/>
        </w:numPr>
      </w:pPr>
      <w:r>
        <w:t xml:space="preserve">Strong 1Q/April volumes prove partly weather-driven, while residential and light-commercial weakness spreads.</w:t>
      </w:r>
    </w:p>
    <w:p>
      <w:pPr>
        <w:pStyle w:val="Compact"/>
        <w:numPr>
          <w:ilvl w:val="0"/>
          <w:numId w:val="1010"/>
        </w:numPr>
      </w:pPr>
      <w:r>
        <w:t xml:space="preserve">Diesel, freight, or other costs prevent price/cost expansion in 2Q.</w:t>
      </w:r>
    </w:p>
    <w:p>
      <w:pPr>
        <w:pStyle w:val="Compact"/>
        <w:numPr>
          <w:ilvl w:val="0"/>
          <w:numId w:val="1010"/>
        </w:numPr>
      </w:pPr>
      <w:r>
        <w:t xml:space="preserve">Acquisition-related accounting charges, integration expenses, or a less favorable Quikrete mix create a disappointing reported margin print.</w:t>
      </w:r>
    </w:p>
    <w:p>
      <w:pPr>
        <w:pStyle w:val="Compact"/>
        <w:numPr>
          <w:ilvl w:val="0"/>
          <w:numId w:val="1010"/>
        </w:numPr>
      </w:pPr>
      <w:r>
        <w:t xml:space="preserve">Management retains the guide without a persuasive explanation of why its previously cited upside levers will materialize.</w:t>
      </w:r>
    </w:p>
    <w:p>
      <w:pPr>
        <w:pStyle w:val="Compact"/>
        <w:numPr>
          <w:ilvl w:val="0"/>
          <w:numId w:val="1010"/>
        </w:numPr>
      </w:pPr>
      <w:r>
        <w:t xml:space="preserve">Lhoist regulatory timing, financing costs, leverage, or integration risk become more prominent.</w:t>
      </w:r>
    </w:p>
    <w:bookmarkEnd w:id="19"/>
    <w:bookmarkEnd w:id="20"/>
    <w:bookmarkStart w:id="21" w:name="key-call-questions"/>
    <w:p>
      <w:pPr>
        <w:pStyle w:val="Heading2"/>
      </w:pPr>
      <w:r>
        <w:t xml:space="preserve">Key call questions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How much of April/May/June volume strength is structural versus weather or timing-related?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What reported and organic ASP growth should investors expect in 2Q and the second half?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How broad were midyear price increases, and what portion of their benefit is expected in 2026 versus 2027?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What was the full-quarter Quikrete margin profile, and how much of the remaining purchase-accounting inventory charge ran through 2Q?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What is New Frontier’s expected 2026 contribution now that it closed May 15?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Does management raise EBITDA guidance, and which levers—volume, price, network optimization, New Frontier—drive the change?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What are the latest regulatory, financing, interest-expense, and closing expectations for Lhoist?</w:t>
      </w:r>
    </w:p>
    <w:p>
      <w:pPr>
        <w:pStyle w:val="Compact"/>
        <w:numPr>
          <w:ilvl w:val="0"/>
          <w:numId w:val="1011"/>
        </w:numPr>
      </w:pPr>
      <w:r>
        <w:rPr>
          <w:b/>
          <w:bCs/>
        </w:rPr>
        <w:t xml:space="preserve">How will MLM balance deleveraging, dividends, share repurchases, and further M&amp;A after the Lhoist close?</w:t>
      </w:r>
    </w:p>
    <w:bookmarkEnd w:id="21"/>
    <w:bookmarkStart w:id="22" w:name="investor-takeaway"/>
    <w:p>
      <w:pPr>
        <w:pStyle w:val="Heading2"/>
      </w:pPr>
      <w:r>
        <w:t xml:space="preserve">Investor takeaway</w:t>
      </w:r>
    </w:p>
    <w:p>
      <w:pPr>
        <w:pStyle w:val="FirstParagraph"/>
      </w:pPr>
      <w:r>
        <w:t xml:space="preserve">MLM’s 2Q26 report is likely to be a</w:t>
      </w:r>
      <w:r>
        <w:t xml:space="preserve"> </w:t>
      </w:r>
      <w:r>
        <w:rPr>
          <w:b/>
          <w:bCs/>
        </w:rPr>
        <w:t xml:space="preserve">quality-of-growth and capital-allocation event</w:t>
      </w:r>
      <w:r>
        <w:t xml:space="preserve">, more than a conventional quarterly earnings event. The operating backdrop appears favorable: infrastructure and heavy nonresidential demand are strong, pricing actions are underway, Quikrete is outperforming early expectations, and New Frontier should now contribute.</w:t>
      </w:r>
    </w:p>
    <w:p>
      <w:pPr>
        <w:pStyle w:val="BodyText"/>
      </w:pPr>
      <w:r>
        <w:t xml:space="preserve">The complication is that the market must look through acquisition accounting and a substantially larger pending acquisition. A favorable report should feature strong underlying aggregates volume, restored reported price momentum, credible cost containment, and a higher 2026 EBITDA outlook. The more consequential longer-term debate will be whether the Lhoist transaction’s strategic benefits and exceptional margin profile justify the temporary step-up in leverage and execution risk.</w:t>
      </w:r>
    </w:p>
    <w:p>
      <w:pPr>
        <w:pStyle w:val="BodyText"/>
      </w:pPr>
      <w:r>
        <w:rPr>
          <w:i/>
          <w:iCs/>
        </w:rPr>
        <w:t xml:space="preserve">Source materials: Martin Marietta’s 1Q26 earnings release and call transcript; June 29, 2026 Lhoist transaction announcement and investor presentation; July 15, 2026 financing-related 8-K; 2Q25 earnings release.</w:t>
      </w:r>
    </w:p>
    <w:bookmarkEnd w:id="22"/>
    <w:bookmarkEnd w:id="2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2026-07-29T18:59:07Z</dcterms:created>
  <dcterms:modified xsi:type="dcterms:W3CDTF">2026-07-29T18:59:07Z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