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Martin Marietta Materials (MLM) — Q2 2026 Earnings Preview</w:t>
      </w:r>
    </w:p>
    <w:p>
      <w:r>
        <w:rPr>
          <w:rFonts w:ascii="Calibri" w:hAnsi="Calibri"/>
          <w:b/>
          <w:color w:val="525866"/>
          <w:sz w:val="22"/>
        </w:rPr>
        <w:t xml:space="preserve">Ticker: </w:t>
      </w:r>
      <w:r>
        <w:rPr>
          <w:rFonts w:ascii="Calibri" w:hAnsi="Calibri"/>
          <w:color w:val="525866"/>
          <w:sz w:val="22"/>
        </w:rPr>
        <w:t xml:space="preserve">MLM  </w:t>
      </w:r>
      <w:r>
        <w:rPr>
          <w:rFonts w:ascii="Calibri" w:hAnsi="Calibri"/>
          <w:b/>
          <w:color w:val="525866"/>
          <w:sz w:val="22"/>
        </w:rPr>
        <w:t xml:space="preserve">Earnings Date: </w:t>
      </w:r>
      <w:r>
        <w:rPr>
          <w:rFonts w:ascii="Calibri" w:hAnsi="Calibri"/>
          <w:color w:val="525866"/>
          <w:sz w:val="22"/>
        </w:rPr>
        <w:t xml:space="preserve">TBA (Q2 2026 call scheduled; announced July 9, 2026)  </w:t>
      </w:r>
      <w:r>
        <w:rPr>
          <w:rFonts w:ascii="Calibri" w:hAnsi="Calibri"/>
          <w:b/>
          <w:color w:val="525866"/>
          <w:sz w:val="22"/>
        </w:rPr>
        <w:t xml:space="preserve">Prepared: </w:t>
      </w:r>
      <w:r>
        <w:rPr>
          <w:rFonts w:ascii="Calibri" w:hAnsi="Calibri"/>
          <w:color w:val="525866"/>
          <w:sz w:val="22"/>
        </w:rPr>
        <w:t>July 29,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The setup into Q2 2026 is constructive — consensus is a manageable bar, the demand backdrop is confirmed by peers reporting today, and management's mid-year pricing initiative is the single biggest swing factor for whether MLM beats or merely meets.</w:t>
      </w:r>
    </w:p>
    <w:p>
      <w:r>
        <w:rPr>
          <w:rFonts w:ascii="Calibri" w:hAnsi="Calibri"/>
          <w:color w:val="525866"/>
          <w:sz w:val="22"/>
        </w:rPr>
        <w:t xml:space="preserve">Heading into Q2 2026, </w:t>
      </w:r>
      <w:r>
        <w:rPr>
          <w:rFonts w:ascii="Calibri" w:hAnsi="Calibri"/>
          <w:b/>
          <w:color w:val="525866"/>
          <w:sz w:val="22"/>
        </w:rPr>
        <w:t>consensus adjusted EBITDA of ~$626M sits modestly below the prior-year Q2 actual of $630M</w:t>
      </w:r>
      <w:r>
        <w:rPr>
          <w:rFonts w:ascii="Calibri" w:hAnsi="Calibri"/>
          <w:color w:val="525866"/>
          <w:sz w:val="22"/>
        </w:rPr>
        <w:t xml:space="preserve"> — a low bar given that Q1 2026 already delivered 14% EBITDA growth and management reaffirmed full-year guidance at $2.43B midpoint with explicit optimism about a mid-year upward revision. Management's posture on the Q1 call was unambiguously bullish: April daily shipments were trending above expectations, organic pricing was expected to normalize toward the East Division-led mix in Q2, and </w:t>
      </w:r>
      <w:r>
        <w:rPr>
          <w:rFonts w:ascii="Calibri" w:hAnsi="Calibri"/>
          <w:b/>
          <w:color w:val="525866"/>
          <w:sz w:val="22"/>
        </w:rPr>
        <w:t>mid-year price increases were being pushed broadly across the country</w:t>
      </w:r>
      <w:r>
        <w:rPr>
          <w:rFonts w:ascii="Calibri" w:hAnsi="Calibri"/>
          <w:color w:val="525866"/>
          <w:sz w:val="22"/>
        </w:rPr>
        <w:t xml:space="preserve"> — broader than 2025 — with management flagging potential for above-historical in-year realization. Estimate revisions since the Q1 print have been modestly negative (Q2 EBITDA consensus slipped ~$14M from the post-earnings baseline), likely reflecting the Lhoist acquisition announcement on June 29 introducing dilution/leverage uncertainty, but the underlying operating estimates remain intact. The stock has underperformed XLB and the S&amp;P 500 since the Q1 print, declining ~8% vs. flat-to-up peers, almost entirely driven by the Lhoist deal overhang rather than fundamental deterioration — creating a potentially attractive setup if Q2 results confirm the organic story. </w:t>
      </w:r>
      <w:r>
        <w:rPr>
          <w:rFonts w:ascii="Calibri" w:hAnsi="Calibri"/>
          <w:b/>
          <w:color w:val="525866"/>
          <w:sz w:val="22"/>
        </w:rPr>
        <w:t>The key wildcard is the magnitude of mid-year price increase realization</w:t>
      </w:r>
      <w:r>
        <w:rPr>
          <w:rFonts w:ascii="Calibri" w:hAnsi="Calibri"/>
          <w:color w:val="525866"/>
          <w:sz w:val="22"/>
        </w:rPr>
        <w:t>: VMC's Q2 results today confirmed mid-year increases went as expected with sequential improvement ~2x better than last year, which is a strong positive read-through for MLM's pricing line.</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on EBITDA (below prior-year Q2 actual) and aggregates gross profit, while volume estimates look achievable given VMC's Q2 confirmation of healthy demand. </w:t>
      </w:r>
      <w:r>
        <w:rPr>
          <w:rFonts w:ascii="Calibri" w:hAnsi="Calibri"/>
          <w:b/>
          <w:color w:val="525866"/>
          <w:sz w:val="22"/>
        </w:rPr>
        <w:t>Aggregates pricing is the bigger swing factor</w:t>
      </w:r>
      <w:r>
        <w:rPr>
          <w:rFonts w:ascii="Calibri" w:hAnsi="Calibri"/>
          <w:color w:val="525866"/>
          <w:sz w:val="22"/>
        </w:rPr>
        <w:t xml:space="preserve"> — mid-year increases and East Division mix normalization could drive a meaningful beat on gross profit per ton.</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Last Quarter Actual (Q1 2026)</w:t>
            </w:r>
          </w:p>
        </w:tc>
        <w:tc>
          <w:tcPr>
            <w:tcW w:type="dxa" w:w="1440"/>
            <w:shd w:val="clear" w:color="auto" w:fill="3B4259"/>
          </w:tcPr>
          <w:p>
            <w:r>
              <w:rPr>
                <w:rFonts w:ascii="Calibri" w:hAnsi="Calibri"/>
                <w:b/>
                <w:color w:val="FFFFFF"/>
                <w:sz w:val="22"/>
              </w:rPr>
              <w:t>Prior Year Period (Q2 2025 Actual)</w:t>
            </w:r>
          </w:p>
        </w:tc>
        <w:tc>
          <w:tcPr>
            <w:tcW w:type="dxa" w:w="1440"/>
            <w:shd w:val="clear" w:color="auto" w:fill="3B4259"/>
          </w:tcPr>
          <w:p>
            <w:r>
              <w:rPr>
                <w:rFonts w:ascii="Calibri" w:hAnsi="Calibri"/>
                <w:b/>
                <w:color w:val="FFFFFF"/>
                <w:sz w:val="22"/>
              </w:rPr>
              <w:t>Q2 2026 Consensus Estimate</w:t>
            </w:r>
          </w:p>
        </w:tc>
        <w:tc>
          <w:tcPr>
            <w:tcW w:type="dxa" w:w="1440"/>
            <w:shd w:val="clear" w:color="auto" w:fill="3B4259"/>
          </w:tcPr>
          <w:p>
            <w:r>
              <w:rPr>
                <w:rFonts w:ascii="Calibri" w:hAnsi="Calibri"/>
                <w:b/>
                <w:color w:val="FFFFFF"/>
                <w:sz w:val="22"/>
              </w:rPr>
              <w:t>YoY Change (Cons. vs. Q2 2025)</w:t>
            </w:r>
          </w:p>
        </w:tc>
        <w:tc>
          <w:tcPr>
            <w:tcW w:type="dxa" w:w="1440"/>
            <w:shd w:val="clear" w:color="auto" w:fill="3B4259"/>
          </w:tcPr>
          <w:p>
            <w:r>
              <w:rPr>
                <w:rFonts w:ascii="Calibri" w:hAnsi="Calibri"/>
                <w:b/>
                <w:color w:val="FFFFFF"/>
                <w:sz w:val="22"/>
              </w:rPr>
              <w:t>FY 2026 Guidance (Midpoint)</w:t>
            </w:r>
          </w:p>
        </w:tc>
      </w:tr>
      <w:tr>
        <w:tc>
          <w:tcPr>
            <w:tcW w:type="dxa" w:w="1440"/>
          </w:tcPr>
          <w:p>
            <w:r>
              <w:rPr>
                <w:rFonts w:ascii="Calibri" w:hAnsi="Calibri"/>
                <w:sz w:val="22"/>
              </w:rPr>
              <w:t>Total Revenue</w:t>
            </w:r>
          </w:p>
        </w:tc>
        <w:tc>
          <w:tcPr>
            <w:tcW w:type="dxa" w:w="1440"/>
          </w:tcPr>
          <w:p>
            <w:r>
              <w:rPr>
                <w:rFonts w:ascii="Calibri" w:hAnsi="Calibri"/>
                <w:sz w:val="22"/>
              </w:rPr>
              <w:t>$1,362M</w:t>
            </w:r>
          </w:p>
        </w:tc>
        <w:tc>
          <w:tcPr>
            <w:tcW w:type="dxa" w:w="1440"/>
          </w:tcPr>
          <w:p>
            <w:r>
              <w:rPr>
                <w:rFonts w:ascii="Calibri" w:hAnsi="Calibri"/>
                <w:sz w:val="22"/>
              </w:rPr>
              <w:t>$1,608M</w:t>
            </w:r>
          </w:p>
        </w:tc>
        <w:tc>
          <w:tcPr>
            <w:tcW w:type="dxa" w:w="1440"/>
          </w:tcPr>
          <w:p>
            <w:r>
              <w:rPr>
                <w:rFonts w:ascii="Calibri" w:hAnsi="Calibri"/>
                <w:sz w:val="22"/>
              </w:rPr>
              <w:t>$1,837M</w:t>
            </w:r>
          </w:p>
        </w:tc>
        <w:tc>
          <w:tcPr>
            <w:tcW w:type="dxa" w:w="1440"/>
          </w:tcPr>
          <w:p>
            <w:r>
              <w:rPr>
                <w:rFonts w:ascii="Calibri" w:hAnsi="Calibri"/>
                <w:sz w:val="22"/>
              </w:rPr>
              <w:t>+14.2%</w:t>
            </w:r>
          </w:p>
        </w:tc>
        <w:tc>
          <w:tcPr>
            <w:tcW w:type="dxa" w:w="1440"/>
          </w:tcPr>
          <w:p>
            <w:r>
              <w:rPr>
                <w:rFonts w:ascii="Calibri" w:hAnsi="Calibri"/>
                <w:sz w:val="22"/>
              </w:rPr>
              <w:t>$7,142M (cons.)</w:t>
            </w:r>
          </w:p>
        </w:tc>
      </w:tr>
      <w:tr>
        <w:tc>
          <w:tcPr>
            <w:tcW w:type="dxa" w:w="1440"/>
          </w:tcPr>
          <w:p>
            <w:r>
              <w:rPr>
                <w:rFonts w:ascii="Calibri" w:hAnsi="Calibri"/>
                <w:sz w:val="22"/>
              </w:rPr>
              <w:t>Adj. EBITDA (Operating)</w:t>
            </w:r>
          </w:p>
        </w:tc>
        <w:tc>
          <w:tcPr>
            <w:tcW w:type="dxa" w:w="1440"/>
          </w:tcPr>
          <w:p>
            <w:r>
              <w:rPr>
                <w:rFonts w:ascii="Calibri" w:hAnsi="Calibri"/>
                <w:sz w:val="22"/>
              </w:rPr>
              <w:t>$364M</w:t>
            </w:r>
          </w:p>
        </w:tc>
        <w:tc>
          <w:tcPr>
            <w:tcW w:type="dxa" w:w="1440"/>
          </w:tcPr>
          <w:p>
            <w:r>
              <w:rPr>
                <w:rFonts w:ascii="Calibri" w:hAnsi="Calibri"/>
                <w:sz w:val="22"/>
              </w:rPr>
              <w:t>$630M</w:t>
            </w:r>
          </w:p>
        </w:tc>
        <w:tc>
          <w:tcPr>
            <w:tcW w:type="dxa" w:w="1440"/>
          </w:tcPr>
          <w:p>
            <w:r>
              <w:rPr>
                <w:rFonts w:ascii="Calibri" w:hAnsi="Calibri"/>
                <w:sz w:val="22"/>
              </w:rPr>
              <w:t>$626M</w:t>
            </w:r>
          </w:p>
        </w:tc>
        <w:tc>
          <w:tcPr>
            <w:tcW w:type="dxa" w:w="1440"/>
          </w:tcPr>
          <w:p>
            <w:r>
              <w:rPr>
                <w:rFonts w:ascii="Calibri" w:hAnsi="Calibri"/>
                <w:sz w:val="22"/>
              </w:rPr>
              <w:t>-0.6%</w:t>
            </w:r>
          </w:p>
        </w:tc>
        <w:tc>
          <w:tcPr>
            <w:tcW w:type="dxa" w:w="1440"/>
          </w:tcPr>
          <w:p>
            <w:r>
              <w:rPr>
                <w:rFonts w:ascii="Calibri" w:hAnsi="Calibri"/>
                <w:sz w:val="22"/>
              </w:rPr>
              <w:t>$2,411M (cons.) / $2,430M (mgmt. midpoint)</w:t>
            </w:r>
          </w:p>
        </w:tc>
      </w:tr>
      <w:tr>
        <w:tc>
          <w:tcPr>
            <w:tcW w:type="dxa" w:w="1440"/>
          </w:tcPr>
          <w:p>
            <w:r>
              <w:rPr>
                <w:rFonts w:ascii="Calibri" w:hAnsi="Calibri"/>
                <w:sz w:val="22"/>
              </w:rPr>
              <w:t>Adj. EPS (Diluted, Operating)</w:t>
            </w:r>
          </w:p>
        </w:tc>
        <w:tc>
          <w:tcPr>
            <w:tcW w:type="dxa" w:w="1440"/>
          </w:tcPr>
          <w:p>
            <w:r>
              <w:rPr>
                <w:rFonts w:ascii="Calibri" w:hAnsi="Calibri"/>
                <w:sz w:val="22"/>
              </w:rPr>
              <w:t>$1.93</w:t>
            </w:r>
          </w:p>
        </w:tc>
        <w:tc>
          <w:tcPr>
            <w:tcW w:type="dxa" w:w="1440"/>
          </w:tcPr>
          <w:p>
            <w:r>
              <w:rPr>
                <w:rFonts w:ascii="Calibri" w:hAnsi="Calibri"/>
                <w:sz w:val="22"/>
              </w:rPr>
              <w:t>$5.43</w:t>
            </w:r>
          </w:p>
        </w:tc>
        <w:tc>
          <w:tcPr>
            <w:tcW w:type="dxa" w:w="1440"/>
          </w:tcPr>
          <w:p>
            <w:r>
              <w:rPr>
                <w:rFonts w:ascii="Calibri" w:hAnsi="Calibri"/>
                <w:sz w:val="22"/>
              </w:rPr>
              <w:t>$4.94</w:t>
            </w:r>
          </w:p>
        </w:tc>
        <w:tc>
          <w:tcPr>
            <w:tcW w:type="dxa" w:w="1440"/>
          </w:tcPr>
          <w:p>
            <w:r>
              <w:rPr>
                <w:rFonts w:ascii="Calibri" w:hAnsi="Calibri"/>
                <w:sz w:val="22"/>
              </w:rPr>
              <w:t>-9.0%</w:t>
            </w:r>
          </w:p>
        </w:tc>
        <w:tc>
          <w:tcPr>
            <w:tcW w:type="dxa" w:w="1440"/>
          </w:tcPr>
          <w:p>
            <w:r>
              <w:rPr>
                <w:rFonts w:ascii="Calibri" w:hAnsi="Calibri"/>
                <w:sz w:val="22"/>
              </w:rPr>
              <w:t>$19.31 (cons.)</w:t>
            </w:r>
          </w:p>
        </w:tc>
      </w:tr>
      <w:tr>
        <w:tc>
          <w:tcPr>
            <w:tcW w:type="dxa" w:w="1440"/>
          </w:tcPr>
          <w:p>
            <w:r>
              <w:rPr>
                <w:rFonts w:ascii="Calibri" w:hAnsi="Calibri"/>
                <w:sz w:val="22"/>
              </w:rPr>
              <w:t>Aggregates Volume (KTons)</w:t>
            </w:r>
          </w:p>
        </w:tc>
        <w:tc>
          <w:tcPr>
            <w:tcW w:type="dxa" w:w="1440"/>
          </w:tcPr>
          <w:p>
            <w:r>
              <w:rPr>
                <w:rFonts w:ascii="Calibri" w:hAnsi="Calibri"/>
                <w:sz w:val="22"/>
              </w:rPr>
              <w:t>43,907 KT</w:t>
            </w:r>
          </w:p>
        </w:tc>
        <w:tc>
          <w:tcPr>
            <w:tcW w:type="dxa" w:w="1440"/>
          </w:tcPr>
          <w:p>
            <w:r>
              <w:rPr>
                <w:rFonts w:ascii="Calibri" w:hAnsi="Calibri"/>
                <w:sz w:val="22"/>
              </w:rPr>
              <w:t>52,700 KT</w:t>
            </w:r>
          </w:p>
        </w:tc>
        <w:tc>
          <w:tcPr>
            <w:tcW w:type="dxa" w:w="1440"/>
          </w:tcPr>
          <w:p>
            <w:r>
              <w:rPr>
                <w:rFonts w:ascii="Calibri" w:hAnsi="Calibri"/>
                <w:sz w:val="22"/>
              </w:rPr>
              <w:t>59,645 KT</w:t>
            </w:r>
          </w:p>
        </w:tc>
        <w:tc>
          <w:tcPr>
            <w:tcW w:type="dxa" w:w="1440"/>
          </w:tcPr>
          <w:p>
            <w:r>
              <w:rPr>
                <w:rFonts w:ascii="Calibri" w:hAnsi="Calibri"/>
                <w:sz w:val="22"/>
              </w:rPr>
              <w:t>+13.2%</w:t>
            </w:r>
          </w:p>
        </w:tc>
        <w:tc>
          <w:tcPr>
            <w:tcW w:type="dxa" w:w="1440"/>
          </w:tcPr>
          <w:p>
            <w:r>
              <w:rPr>
                <w:rFonts w:ascii="Calibri" w:hAnsi="Calibri"/>
                <w:sz w:val="22"/>
              </w:rPr>
              <w:t>223,771 KT (cons.)</w:t>
            </w:r>
          </w:p>
        </w:tc>
      </w:tr>
      <w:tr>
        <w:tc>
          <w:tcPr>
            <w:tcW w:type="dxa" w:w="1440"/>
          </w:tcPr>
          <w:p>
            <w:r>
              <w:rPr>
                <w:rFonts w:ascii="Calibri" w:hAnsi="Calibri"/>
                <w:sz w:val="22"/>
              </w:rPr>
              <w:t>Aggregates Avg. Realized Price ($/ton)</w:t>
            </w:r>
          </w:p>
        </w:tc>
        <w:tc>
          <w:tcPr>
            <w:tcW w:type="dxa" w:w="1440"/>
          </w:tcPr>
          <w:p>
            <w:r>
              <w:rPr>
                <w:rFonts w:ascii="Calibri" w:hAnsi="Calibri"/>
                <w:sz w:val="22"/>
              </w:rPr>
              <w:t>$23.70</w:t>
            </w:r>
          </w:p>
        </w:tc>
        <w:tc>
          <w:tcPr>
            <w:tcW w:type="dxa" w:w="1440"/>
          </w:tcPr>
          <w:p>
            <w:r>
              <w:rPr>
                <w:rFonts w:ascii="Calibri" w:hAnsi="Calibri"/>
                <w:sz w:val="22"/>
              </w:rPr>
              <w:t>$23.21</w:t>
            </w:r>
          </w:p>
        </w:tc>
        <w:tc>
          <w:tcPr>
            <w:tcW w:type="dxa" w:w="1440"/>
          </w:tcPr>
          <w:p>
            <w:r>
              <w:rPr>
                <w:rFonts w:ascii="Calibri" w:hAnsi="Calibri"/>
                <w:sz w:val="22"/>
              </w:rPr>
              <w:t>$23.62</w:t>
            </w:r>
          </w:p>
        </w:tc>
        <w:tc>
          <w:tcPr>
            <w:tcW w:type="dxa" w:w="1440"/>
          </w:tcPr>
          <w:p>
            <w:r>
              <w:rPr>
                <w:rFonts w:ascii="Calibri" w:hAnsi="Calibri"/>
                <w:sz w:val="22"/>
              </w:rPr>
              <w:t>+1.8%</w:t>
            </w:r>
          </w:p>
        </w:tc>
        <w:tc>
          <w:tcPr>
            <w:tcW w:type="dxa" w:w="1440"/>
          </w:tcPr>
          <w:p>
            <w:r>
              <w:rPr>
                <w:rFonts w:ascii="Calibri" w:hAnsi="Calibri"/>
                <w:sz w:val="22"/>
              </w:rPr>
              <w:t>$23.86 (cons.)</w:t>
            </w:r>
          </w:p>
        </w:tc>
      </w:tr>
      <w:tr>
        <w:tc>
          <w:tcPr>
            <w:tcW w:type="dxa" w:w="1440"/>
          </w:tcPr>
          <w:p>
            <w:r>
              <w:rPr>
                <w:rFonts w:ascii="Calibri" w:hAnsi="Calibri"/>
                <w:sz w:val="22"/>
              </w:rPr>
              <w:t>Aggregates Gross Profit</w:t>
            </w:r>
          </w:p>
        </w:tc>
        <w:tc>
          <w:tcPr>
            <w:tcW w:type="dxa" w:w="1440"/>
          </w:tcPr>
          <w:p>
            <w:r>
              <w:rPr>
                <w:rFonts w:ascii="Calibri" w:hAnsi="Calibri"/>
                <w:sz w:val="22"/>
              </w:rPr>
              <w:t>$288M</w:t>
            </w:r>
          </w:p>
        </w:tc>
        <w:tc>
          <w:tcPr>
            <w:tcW w:type="dxa" w:w="1440"/>
          </w:tcPr>
          <w:p>
            <w:r>
              <w:rPr>
                <w:rFonts w:ascii="Calibri" w:hAnsi="Calibri"/>
                <w:sz w:val="22"/>
              </w:rPr>
              <w:t>$430M</w:t>
            </w:r>
          </w:p>
        </w:tc>
        <w:tc>
          <w:tcPr>
            <w:tcW w:type="dxa" w:w="1440"/>
          </w:tcPr>
          <w:p>
            <w:r>
              <w:rPr>
                <w:rFonts w:ascii="Calibri" w:hAnsi="Calibri"/>
                <w:sz w:val="22"/>
              </w:rPr>
              <w:t>$466M</w:t>
            </w:r>
          </w:p>
        </w:tc>
        <w:tc>
          <w:tcPr>
            <w:tcW w:type="dxa" w:w="1440"/>
          </w:tcPr>
          <w:p>
            <w:r>
              <w:rPr>
                <w:rFonts w:ascii="Calibri" w:hAnsi="Calibri"/>
                <w:sz w:val="22"/>
              </w:rPr>
              <w:t>+8.4%</w:t>
            </w:r>
          </w:p>
        </w:tc>
        <w:tc>
          <w:tcPr>
            <w:tcW w:type="dxa" w:w="1440"/>
          </w:tcPr>
          <w:p>
            <w:r>
              <w:rPr>
                <w:rFonts w:ascii="Calibri" w:hAnsi="Calibri"/>
                <w:sz w:val="22"/>
              </w:rPr>
              <w:t>$1,899M (cons.)</w:t>
            </w:r>
          </w:p>
        </w:tc>
      </w:tr>
    </w:tbl>
    <w:p>
      <w:r>
        <w:rPr>
          <w:rFonts w:ascii="Calibri" w:hAnsi="Calibri"/>
          <w:color w:val="525866"/>
          <w:sz w:val="22"/>
        </w:rPr>
        <w:t>Source: Visible Alpha consensus and actuals. Q2 2026 consensus as of July 29, 2026. FY 2026 management guidance midpoint of $2.43B Adj. EBITDA reaffirmed on Q1 2026 earnings call (April 30, 2026). Note: Q1 2026 Adj. EPS of $1.93 reflects typical Q1 seasonality (lowest quarter of the year); Q2 is the peak season quarter. Aggregates volume Q1 2026 actual of 43,907 KT reflects record first-quarter shipments (+12% YoY). Q2 2026 consensus aggregates ASP of $23.62/ton does not yet embed mid-year price increase realization, representing potential upside.</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Adj. EBITDA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$584M</w:t>
            </w:r>
          </w:p>
        </w:tc>
        <w:tc>
          <w:tcPr>
            <w:tcW w:type="dxa" w:w="1728"/>
          </w:tcPr>
          <w:p>
            <w:r>
              <w:rPr>
                <w:rFonts w:ascii="Calibri" w:hAnsi="Calibri"/>
                <w:sz w:val="22"/>
              </w:rPr>
              <w:t>$608M</w:t>
            </w:r>
          </w:p>
        </w:tc>
        <w:tc>
          <w:tcPr>
            <w:tcW w:type="dxa" w:w="1728"/>
          </w:tcPr>
          <w:p>
            <w:r>
              <w:rPr>
                <w:rFonts w:ascii="Calibri" w:hAnsi="Calibri"/>
                <w:b/>
                <w:color w:val="E5484D"/>
                <w:sz w:val="22"/>
              </w:rPr>
              <w:t>-4.0%</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$547M</w:t>
            </w:r>
          </w:p>
        </w:tc>
        <w:tc>
          <w:tcPr>
            <w:tcW w:type="dxa" w:w="1728"/>
          </w:tcPr>
          <w:p>
            <w:r>
              <w:rPr>
                <w:rFonts w:ascii="Calibri" w:hAnsi="Calibri"/>
                <w:sz w:val="22"/>
              </w:rPr>
              <w:t>$670M</w:t>
            </w:r>
          </w:p>
        </w:tc>
        <w:tc>
          <w:tcPr>
            <w:tcW w:type="dxa" w:w="1728"/>
          </w:tcPr>
          <w:p>
            <w:r>
              <w:rPr>
                <w:rFonts w:ascii="Calibri" w:hAnsi="Calibri"/>
                <w:b/>
                <w:color w:val="E5484D"/>
                <w:sz w:val="22"/>
              </w:rPr>
              <w:t>-18.4%</w:t>
            </w:r>
          </w:p>
        </w:tc>
        <w:tc>
          <w:tcPr>
            <w:tcW w:type="dxa" w:w="1728"/>
          </w:tcPr>
          <w:p>
            <w:r>
              <w:rPr>
                <w:rFonts w:ascii="Calibri" w:hAnsi="Calibri"/>
                <w:sz w:val="22"/>
              </w:rPr>
              <w:t>MISS</w:t>
            </w:r>
          </w:p>
        </w:tc>
      </w:tr>
      <w:tr>
        <w:tc>
          <w:tcPr>
            <w:tcW w:type="dxa" w:w="1728"/>
          </w:tcPr>
          <w:p>
            <w:r>
              <w:rPr>
                <w:rFonts w:ascii="Calibri" w:hAnsi="Calibri"/>
                <w:sz w:val="22"/>
              </w:rPr>
              <w:t>Q4 2024</w:t>
            </w:r>
          </w:p>
        </w:tc>
        <w:tc>
          <w:tcPr>
            <w:tcW w:type="dxa" w:w="1728"/>
          </w:tcPr>
          <w:p>
            <w:r>
              <w:rPr>
                <w:rFonts w:ascii="Calibri" w:hAnsi="Calibri"/>
                <w:sz w:val="22"/>
              </w:rPr>
              <w:t>$467M</w:t>
            </w:r>
          </w:p>
        </w:tc>
        <w:tc>
          <w:tcPr>
            <w:tcW w:type="dxa" w:w="1728"/>
          </w:tcPr>
          <w:p>
            <w:r>
              <w:rPr>
                <w:rFonts w:ascii="Calibri" w:hAnsi="Calibri"/>
                <w:sz w:val="22"/>
              </w:rPr>
              <w:t>$543M</w:t>
            </w:r>
          </w:p>
        </w:tc>
        <w:tc>
          <w:tcPr>
            <w:tcW w:type="dxa" w:w="1728"/>
          </w:tcPr>
          <w:p>
            <w:r>
              <w:rPr>
                <w:rFonts w:ascii="Calibri" w:hAnsi="Calibri"/>
                <w:b/>
                <w:color w:val="E5484D"/>
                <w:sz w:val="22"/>
              </w:rPr>
              <w:t>-14.0%</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$319M</w:t>
            </w:r>
          </w:p>
        </w:tc>
        <w:tc>
          <w:tcPr>
            <w:tcW w:type="dxa" w:w="1728"/>
          </w:tcPr>
          <w:p>
            <w:r>
              <w:rPr>
                <w:rFonts w:ascii="Calibri" w:hAnsi="Calibri"/>
                <w:sz w:val="22"/>
              </w:rPr>
              <w:t>$346M</w:t>
            </w:r>
          </w:p>
        </w:tc>
        <w:tc>
          <w:tcPr>
            <w:tcW w:type="dxa" w:w="1728"/>
          </w:tcPr>
          <w:p>
            <w:r>
              <w:rPr>
                <w:rFonts w:ascii="Calibri" w:hAnsi="Calibri"/>
                <w:b/>
                <w:color w:val="E5484D"/>
                <w:sz w:val="22"/>
              </w:rPr>
              <w:t>-7.8%</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$630M</w:t>
            </w:r>
          </w:p>
        </w:tc>
        <w:tc>
          <w:tcPr>
            <w:tcW w:type="dxa" w:w="1728"/>
          </w:tcPr>
          <w:p>
            <w:r>
              <w:rPr>
                <w:rFonts w:ascii="Calibri" w:hAnsi="Calibri"/>
                <w:sz w:val="22"/>
              </w:rPr>
              <w:t>$616M</w:t>
            </w:r>
          </w:p>
        </w:tc>
        <w:tc>
          <w:tcPr>
            <w:tcW w:type="dxa" w:w="1728"/>
          </w:tcPr>
          <w:p>
            <w:r>
              <w:rPr>
                <w:rFonts w:ascii="Calibri" w:hAnsi="Calibri"/>
                <w:b/>
                <w:color w:val="30A46C"/>
                <w:sz w:val="22"/>
              </w:rPr>
              <w:t>+2.3%</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$743M</w:t>
            </w:r>
          </w:p>
        </w:tc>
        <w:tc>
          <w:tcPr>
            <w:tcW w:type="dxa" w:w="1728"/>
          </w:tcPr>
          <w:p>
            <w:r>
              <w:rPr>
                <w:rFonts w:ascii="Calibri" w:hAnsi="Calibri"/>
                <w:sz w:val="22"/>
              </w:rPr>
              <w:t>$730M</w:t>
            </w:r>
          </w:p>
        </w:tc>
        <w:tc>
          <w:tcPr>
            <w:tcW w:type="dxa" w:w="1728"/>
          </w:tcPr>
          <w:p>
            <w:r>
              <w:rPr>
                <w:rFonts w:ascii="Calibri" w:hAnsi="Calibri"/>
                <w:b/>
                <w:color w:val="30A46C"/>
                <w:sz w:val="22"/>
              </w:rPr>
              <w:t>+1.8%</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$515M</w:t>
            </w:r>
          </w:p>
        </w:tc>
        <w:tc>
          <w:tcPr>
            <w:tcW w:type="dxa" w:w="1728"/>
          </w:tcPr>
          <w:p>
            <w:r>
              <w:rPr>
                <w:rFonts w:ascii="Calibri" w:hAnsi="Calibri"/>
                <w:sz w:val="22"/>
              </w:rPr>
              <w:t>$577M</w:t>
            </w:r>
          </w:p>
        </w:tc>
        <w:tc>
          <w:tcPr>
            <w:tcW w:type="dxa" w:w="1728"/>
          </w:tcPr>
          <w:p>
            <w:r>
              <w:rPr>
                <w:rFonts w:ascii="Calibri" w:hAnsi="Calibri"/>
                <w:b/>
                <w:color w:val="E5484D"/>
                <w:sz w:val="22"/>
              </w:rPr>
              <w:t>-10.7%</w:t>
            </w:r>
          </w:p>
        </w:tc>
        <w:tc>
          <w:tcPr>
            <w:tcW w:type="dxa" w:w="1728"/>
          </w:tcPr>
          <w:p>
            <w:r>
              <w:rPr>
                <w:rFonts w:ascii="Calibri" w:hAnsi="Calibri"/>
                <w:sz w:val="22"/>
              </w:rPr>
              <w:t>MISS</w:t>
            </w:r>
          </w:p>
        </w:tc>
      </w:tr>
      <w:tr>
        <w:tc>
          <w:tcPr>
            <w:tcW w:type="dxa" w:w="1728"/>
          </w:tcPr>
          <w:p>
            <w:r>
              <w:rPr>
                <w:rFonts w:ascii="Calibri" w:hAnsi="Calibri"/>
                <w:sz w:val="22"/>
              </w:rPr>
              <w:t>Q1 2026</w:t>
            </w:r>
          </w:p>
        </w:tc>
        <w:tc>
          <w:tcPr>
            <w:tcW w:type="dxa" w:w="1728"/>
          </w:tcPr>
          <w:p>
            <w:r>
              <w:rPr>
                <w:rFonts w:ascii="Calibri" w:hAnsi="Calibri"/>
                <w:sz w:val="22"/>
              </w:rPr>
              <w:t>$364M</w:t>
            </w:r>
          </w:p>
        </w:tc>
        <w:tc>
          <w:tcPr>
            <w:tcW w:type="dxa" w:w="1728"/>
          </w:tcPr>
          <w:p>
            <w:r>
              <w:rPr>
                <w:rFonts w:ascii="Calibri" w:hAnsi="Calibri"/>
                <w:sz w:val="22"/>
              </w:rPr>
              <w:t>$372M</w:t>
            </w:r>
          </w:p>
        </w:tc>
        <w:tc>
          <w:tcPr>
            <w:tcW w:type="dxa" w:w="1728"/>
          </w:tcPr>
          <w:p>
            <w:r>
              <w:rPr>
                <w:rFonts w:ascii="Calibri" w:hAnsi="Calibri"/>
                <w:b/>
                <w:color w:val="E5484D"/>
                <w:sz w:val="22"/>
              </w:rPr>
              <w:t>-2.2%</w:t>
            </w:r>
          </w:p>
        </w:tc>
        <w:tc>
          <w:tcPr>
            <w:tcW w:type="dxa" w:w="1728"/>
          </w:tcPr>
          <w:p>
            <w:r>
              <w:rPr>
                <w:rFonts w:ascii="Calibri" w:hAnsi="Calibri"/>
                <w:sz w:val="22"/>
              </w:rPr>
              <w:t>MISS (slight)</w:t>
            </w:r>
          </w:p>
        </w:tc>
      </w:tr>
    </w:tbl>
    <w:p>
      <w:pPr>
        <w:pStyle w:val="Heading4"/>
      </w:pPr>
      <w:r>
        <w:rPr>
          <w:rFonts w:ascii="Calibri" w:hAnsi="Calibri"/>
          <w:b/>
          <w:color w:val="3B4259"/>
          <w:sz w:val="22"/>
        </w:rPr>
        <w:t>Aggregates Volume (KTons)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(KT)</w:t>
            </w:r>
          </w:p>
        </w:tc>
        <w:tc>
          <w:tcPr>
            <w:tcW w:type="dxa" w:w="1728"/>
            <w:shd w:val="clear" w:color="auto" w:fill="3B4259"/>
          </w:tcPr>
          <w:p>
            <w:r>
              <w:rPr>
                <w:rFonts w:ascii="Calibri" w:hAnsi="Calibri"/>
                <w:b/>
                <w:color w:val="FFFFFF"/>
                <w:sz w:val="22"/>
              </w:rPr>
              <w:t>Consensus (KT)</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53,000</w:t>
            </w:r>
          </w:p>
        </w:tc>
        <w:tc>
          <w:tcPr>
            <w:tcW w:type="dxa" w:w="1728"/>
          </w:tcPr>
          <w:p>
            <w:r>
              <w:rPr>
                <w:rFonts w:ascii="Calibri" w:hAnsi="Calibri"/>
                <w:sz w:val="22"/>
              </w:rPr>
              <w:t>54,462</w:t>
            </w:r>
          </w:p>
        </w:tc>
        <w:tc>
          <w:tcPr>
            <w:tcW w:type="dxa" w:w="1728"/>
          </w:tcPr>
          <w:p>
            <w:r>
              <w:rPr>
                <w:rFonts w:ascii="Calibri" w:hAnsi="Calibri"/>
                <w:b/>
                <w:color w:val="E5484D"/>
                <w:sz w:val="22"/>
              </w:rPr>
              <w:t>-2.7%</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53,700</w:t>
            </w:r>
          </w:p>
        </w:tc>
        <w:tc>
          <w:tcPr>
            <w:tcW w:type="dxa" w:w="1728"/>
          </w:tcPr>
          <w:p>
            <w:r>
              <w:rPr>
                <w:rFonts w:ascii="Calibri" w:hAnsi="Calibri"/>
                <w:sz w:val="22"/>
              </w:rPr>
              <w:t>53,999</w:t>
            </w:r>
          </w:p>
        </w:tc>
        <w:tc>
          <w:tcPr>
            <w:tcW w:type="dxa" w:w="1728"/>
          </w:tcPr>
          <w:p>
            <w:r>
              <w:rPr>
                <w:rFonts w:ascii="Calibri" w:hAnsi="Calibri"/>
                <w:b/>
                <w:color w:val="E5484D"/>
                <w:sz w:val="22"/>
              </w:rPr>
              <w:t>-0.6%</w:t>
            </w:r>
          </w:p>
        </w:tc>
        <w:tc>
          <w:tcPr>
            <w:tcW w:type="dxa" w:w="1728"/>
          </w:tcPr>
          <w:p>
            <w:r>
              <w:rPr>
                <w:rFonts w:ascii="Calibri" w:hAnsi="Calibri"/>
                <w:sz w:val="22"/>
              </w:rPr>
              <w:t>MISS (slight)</w:t>
            </w:r>
          </w:p>
        </w:tc>
      </w:tr>
      <w:tr>
        <w:tc>
          <w:tcPr>
            <w:tcW w:type="dxa" w:w="1728"/>
          </w:tcPr>
          <w:p>
            <w:r>
              <w:rPr>
                <w:rFonts w:ascii="Calibri" w:hAnsi="Calibri"/>
                <w:sz w:val="22"/>
              </w:rPr>
              <w:t>Q4 2024</w:t>
            </w:r>
          </w:p>
        </w:tc>
        <w:tc>
          <w:tcPr>
            <w:tcW w:type="dxa" w:w="1728"/>
          </w:tcPr>
          <w:p>
            <w:r>
              <w:rPr>
                <w:rFonts w:ascii="Calibri" w:hAnsi="Calibri"/>
                <w:sz w:val="22"/>
              </w:rPr>
              <w:t>47,900</w:t>
            </w:r>
          </w:p>
        </w:tc>
        <w:tc>
          <w:tcPr>
            <w:tcW w:type="dxa" w:w="1728"/>
          </w:tcPr>
          <w:p>
            <w:r>
              <w:rPr>
                <w:rFonts w:ascii="Calibri" w:hAnsi="Calibri"/>
                <w:sz w:val="22"/>
              </w:rPr>
              <w:t>48,437</w:t>
            </w:r>
          </w:p>
        </w:tc>
        <w:tc>
          <w:tcPr>
            <w:tcW w:type="dxa" w:w="1728"/>
          </w:tcPr>
          <w:p>
            <w:r>
              <w:rPr>
                <w:rFonts w:ascii="Calibri" w:hAnsi="Calibri"/>
                <w:b/>
                <w:color w:val="E5484D"/>
                <w:sz w:val="22"/>
              </w:rPr>
              <w:t>-1.1%</w:t>
            </w:r>
          </w:p>
        </w:tc>
        <w:tc>
          <w:tcPr>
            <w:tcW w:type="dxa" w:w="1728"/>
          </w:tcPr>
          <w:p>
            <w:r>
              <w:rPr>
                <w:rFonts w:ascii="Calibri" w:hAnsi="Calibri"/>
                <w:sz w:val="22"/>
              </w:rPr>
              <w:t>MISS (slight)</w:t>
            </w:r>
          </w:p>
        </w:tc>
      </w:tr>
      <w:tr>
        <w:tc>
          <w:tcPr>
            <w:tcW w:type="dxa" w:w="1728"/>
          </w:tcPr>
          <w:p>
            <w:r>
              <w:rPr>
                <w:rFonts w:ascii="Calibri" w:hAnsi="Calibri"/>
                <w:sz w:val="22"/>
              </w:rPr>
              <w:t>Q1 2025</w:t>
            </w:r>
          </w:p>
        </w:tc>
        <w:tc>
          <w:tcPr>
            <w:tcW w:type="dxa" w:w="1728"/>
          </w:tcPr>
          <w:p>
            <w:r>
              <w:rPr>
                <w:rFonts w:ascii="Calibri" w:hAnsi="Calibri"/>
                <w:sz w:val="22"/>
              </w:rPr>
              <w:t>39,000</w:t>
            </w:r>
          </w:p>
        </w:tc>
        <w:tc>
          <w:tcPr>
            <w:tcW w:type="dxa" w:w="1728"/>
          </w:tcPr>
          <w:p>
            <w:r>
              <w:rPr>
                <w:rFonts w:ascii="Calibri" w:hAnsi="Calibri"/>
                <w:sz w:val="22"/>
              </w:rPr>
              <w:t>39,628</w:t>
            </w:r>
          </w:p>
        </w:tc>
        <w:tc>
          <w:tcPr>
            <w:tcW w:type="dxa" w:w="1728"/>
          </w:tcPr>
          <w:p>
            <w:r>
              <w:rPr>
                <w:rFonts w:ascii="Calibri" w:hAnsi="Calibri"/>
                <w:b/>
                <w:color w:val="E5484D"/>
                <w:sz w:val="22"/>
              </w:rPr>
              <w:t>-1.6%</w:t>
            </w:r>
          </w:p>
        </w:tc>
        <w:tc>
          <w:tcPr>
            <w:tcW w:type="dxa" w:w="1728"/>
          </w:tcPr>
          <w:p>
            <w:r>
              <w:rPr>
                <w:rFonts w:ascii="Calibri" w:hAnsi="Calibri"/>
                <w:sz w:val="22"/>
              </w:rPr>
              <w:t>MISS (slight)</w:t>
            </w:r>
          </w:p>
        </w:tc>
      </w:tr>
      <w:tr>
        <w:tc>
          <w:tcPr>
            <w:tcW w:type="dxa" w:w="1728"/>
          </w:tcPr>
          <w:p>
            <w:r>
              <w:rPr>
                <w:rFonts w:ascii="Calibri" w:hAnsi="Calibri"/>
                <w:sz w:val="22"/>
              </w:rPr>
              <w:t>Q2 2025</w:t>
            </w:r>
          </w:p>
        </w:tc>
        <w:tc>
          <w:tcPr>
            <w:tcW w:type="dxa" w:w="1728"/>
          </w:tcPr>
          <w:p>
            <w:r>
              <w:rPr>
                <w:rFonts w:ascii="Calibri" w:hAnsi="Calibri"/>
                <w:sz w:val="22"/>
              </w:rPr>
              <w:t>52,700</w:t>
            </w:r>
          </w:p>
        </w:tc>
        <w:tc>
          <w:tcPr>
            <w:tcW w:type="dxa" w:w="1728"/>
          </w:tcPr>
          <w:p>
            <w:r>
              <w:rPr>
                <w:rFonts w:ascii="Calibri" w:hAnsi="Calibri"/>
                <w:sz w:val="22"/>
              </w:rPr>
              <w:t>53,432</w:t>
            </w:r>
          </w:p>
        </w:tc>
        <w:tc>
          <w:tcPr>
            <w:tcW w:type="dxa" w:w="1728"/>
          </w:tcPr>
          <w:p>
            <w:r>
              <w:rPr>
                <w:rFonts w:ascii="Calibri" w:hAnsi="Calibri"/>
                <w:b/>
                <w:color w:val="E5484D"/>
                <w:sz w:val="22"/>
              </w:rPr>
              <w:t>-1.4%</w:t>
            </w:r>
          </w:p>
        </w:tc>
        <w:tc>
          <w:tcPr>
            <w:tcW w:type="dxa" w:w="1728"/>
          </w:tcPr>
          <w:p>
            <w:r>
              <w:rPr>
                <w:rFonts w:ascii="Calibri" w:hAnsi="Calibri"/>
                <w:sz w:val="22"/>
              </w:rPr>
              <w:t>MISS (slight)</w:t>
            </w:r>
          </w:p>
        </w:tc>
      </w:tr>
      <w:tr>
        <w:tc>
          <w:tcPr>
            <w:tcW w:type="dxa" w:w="1728"/>
          </w:tcPr>
          <w:p>
            <w:r>
              <w:rPr>
                <w:rFonts w:ascii="Calibri" w:hAnsi="Calibri"/>
                <w:sz w:val="22"/>
              </w:rPr>
              <w:t>Q3 2025</w:t>
            </w:r>
          </w:p>
        </w:tc>
        <w:tc>
          <w:tcPr>
            <w:tcW w:type="dxa" w:w="1728"/>
          </w:tcPr>
          <w:p>
            <w:r>
              <w:rPr>
                <w:rFonts w:ascii="Calibri" w:hAnsi="Calibri"/>
                <w:sz w:val="22"/>
              </w:rPr>
              <w:t>57,900</w:t>
            </w:r>
          </w:p>
        </w:tc>
        <w:tc>
          <w:tcPr>
            <w:tcW w:type="dxa" w:w="1728"/>
          </w:tcPr>
          <w:p>
            <w:r>
              <w:rPr>
                <w:rFonts w:ascii="Calibri" w:hAnsi="Calibri"/>
                <w:sz w:val="22"/>
              </w:rPr>
              <w:t>55,831</w:t>
            </w:r>
          </w:p>
        </w:tc>
        <w:tc>
          <w:tcPr>
            <w:tcW w:type="dxa" w:w="1728"/>
          </w:tcPr>
          <w:p>
            <w:r>
              <w:rPr>
                <w:rFonts w:ascii="Calibri" w:hAnsi="Calibri"/>
                <w:b/>
                <w:color w:val="30A46C"/>
                <w:sz w:val="22"/>
              </w:rPr>
              <w:t>+3.7%</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48,900</w:t>
            </w:r>
          </w:p>
        </w:tc>
        <w:tc>
          <w:tcPr>
            <w:tcW w:type="dxa" w:w="1728"/>
          </w:tcPr>
          <w:p>
            <w:r>
              <w:rPr>
                <w:rFonts w:ascii="Calibri" w:hAnsi="Calibri"/>
                <w:sz w:val="22"/>
              </w:rPr>
              <w:t>49,271</w:t>
            </w:r>
          </w:p>
        </w:tc>
        <w:tc>
          <w:tcPr>
            <w:tcW w:type="dxa" w:w="1728"/>
          </w:tcPr>
          <w:p>
            <w:r>
              <w:rPr>
                <w:rFonts w:ascii="Calibri" w:hAnsi="Calibri"/>
                <w:b/>
                <w:color w:val="E5484D"/>
                <w:sz w:val="22"/>
              </w:rPr>
              <w:t>-0.8%</w:t>
            </w:r>
          </w:p>
        </w:tc>
        <w:tc>
          <w:tcPr>
            <w:tcW w:type="dxa" w:w="1728"/>
          </w:tcPr>
          <w:p>
            <w:r>
              <w:rPr>
                <w:rFonts w:ascii="Calibri" w:hAnsi="Calibri"/>
                <w:sz w:val="22"/>
              </w:rPr>
              <w:t>MISS (slight)</w:t>
            </w:r>
          </w:p>
        </w:tc>
      </w:tr>
      <w:tr>
        <w:tc>
          <w:tcPr>
            <w:tcW w:type="dxa" w:w="1728"/>
          </w:tcPr>
          <w:p>
            <w:r>
              <w:rPr>
                <w:rFonts w:ascii="Calibri" w:hAnsi="Calibri"/>
                <w:sz w:val="22"/>
              </w:rPr>
              <w:t>Q1 2026</w:t>
            </w:r>
          </w:p>
        </w:tc>
        <w:tc>
          <w:tcPr>
            <w:tcW w:type="dxa" w:w="1728"/>
          </w:tcPr>
          <w:p>
            <w:r>
              <w:rPr>
                <w:rFonts w:ascii="Calibri" w:hAnsi="Calibri"/>
                <w:sz w:val="22"/>
              </w:rPr>
              <w:t>43,907</w:t>
            </w:r>
          </w:p>
        </w:tc>
        <w:tc>
          <w:tcPr>
            <w:tcW w:type="dxa" w:w="1728"/>
          </w:tcPr>
          <w:p>
            <w:r>
              <w:rPr>
                <w:rFonts w:ascii="Calibri" w:hAnsi="Calibri"/>
                <w:sz w:val="22"/>
              </w:rPr>
              <w:t>41,907</w:t>
            </w:r>
          </w:p>
        </w:tc>
        <w:tc>
          <w:tcPr>
            <w:tcW w:type="dxa" w:w="1728"/>
          </w:tcPr>
          <w:p>
            <w:r>
              <w:rPr>
                <w:rFonts w:ascii="Calibri" w:hAnsi="Calibri"/>
                <w:b/>
                <w:color w:val="30A46C"/>
                <w:sz w:val="22"/>
              </w:rPr>
              <w:t>+4.8%</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MLM has historically missed EBITDA consensus in most quarters, reflecting the Street's tendency to set optimistic bars; however, the last two quarters show a turn toward beats on volume (Q3 2025, Q1 2026), and Q2 2025 was the first EBITDA beat in the trailing 8-quarter window — suggesting the bar is now better calibrated. The Q1 2026 volume beat of +4.8% is particularly encouraging as a setup for Q2. Source: Visible Alpha.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 xml:space="preserve">Full-year 2026 Adj. EBITDA guidance was reaffirmed at $2.43B midpoint on the Q1 call with management explicitly flagging mid-year pricing, network optimization, and New Frontier contributions as upside levers not yet embedded — </w:t>
      </w:r>
      <w:r>
        <w:rPr>
          <w:rFonts w:ascii="Calibri" w:hAnsi="Calibri"/>
          <w:b/>
          <w:color w:val="525866"/>
          <w:sz w:val="22"/>
        </w:rPr>
        <w:t>tone is the most bullish it has been in several quarters</w:t>
      </w:r>
      <w:r>
        <w:rPr>
          <w:rFonts w:ascii="Calibri" w:hAnsi="Calibri"/>
          <w:color w:val="525866"/>
          <w:sz w:val="22"/>
        </w:rPr>
        <w:t>. The Lhoist acquisition announcement (June 29) is a transformational strategic event but does not change 2026 operating guidance.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30,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 EBITDA</w:t>
            </w:r>
          </w:p>
        </w:tc>
        <w:tc>
          <w:tcPr>
            <w:tcW w:type="dxa" w:w="1728"/>
          </w:tcPr>
          <w:p>
            <w:r>
              <w:rPr>
                <w:rFonts w:ascii="Calibri" w:hAnsi="Calibri"/>
                <w:sz w:val="22"/>
              </w:rPr>
              <w:t>$2.43B midpoint (reaffirmed from Q4 2025 call)</w:t>
            </w:r>
          </w:p>
        </w:tc>
        <w:tc>
          <w:tcPr>
            <w:tcW w:type="dxa" w:w="1728"/>
          </w:tcPr>
          <w:p>
            <w:r>
              <w:rPr>
                <w:rFonts w:ascii="Calibri" w:hAnsi="Calibri"/>
                <w:sz w:val="22"/>
              </w:rPr>
              <w:t>—</w:t>
            </w:r>
          </w:p>
        </w:tc>
        <w:tc>
          <w:tcPr>
            <w:tcW w:type="dxa" w:w="1728"/>
          </w:tcPr>
          <w:p>
            <w:r>
              <w:rPr>
                <w:rFonts w:ascii="Calibri" w:hAnsi="Calibri"/>
                <w:sz w:val="22"/>
              </w:rPr>
              <w:t>$2.411B</w:t>
            </w:r>
          </w:p>
        </w:tc>
        <w:tc>
          <w:tcPr>
            <w:tcW w:type="dxa" w:w="1728"/>
          </w:tcPr>
          <w:p>
            <w:r>
              <w:rPr>
                <w:rFonts w:ascii="Calibri" w:hAnsi="Calibri"/>
                <w:sz w:val="22"/>
              </w:rPr>
              <w:t>Unchanged since Q1 print; management guided to mid-year reassessment with "optimistic" tone. Upside levers (mid-year pricing, network optimization, New Frontier) not yet embedded.</w:t>
            </w:r>
          </w:p>
        </w:tc>
      </w:tr>
      <w:tr>
        <w:tc>
          <w:tcPr>
            <w:tcW w:type="dxa" w:w="1728"/>
          </w:tcPr>
          <w:p>
            <w:r>
              <w:rPr>
                <w:rFonts w:ascii="Calibri" w:hAnsi="Calibri"/>
                <w:sz w:val="22"/>
              </w:rPr>
              <w:t>Aggregates Volume Growth (FY 2026)</w:t>
            </w:r>
          </w:p>
        </w:tc>
        <w:tc>
          <w:tcPr>
            <w:tcW w:type="dxa" w:w="1728"/>
          </w:tcPr>
          <w:p>
            <w:r>
              <w:rPr>
                <w:rFonts w:ascii="Calibri" w:hAnsi="Calibri"/>
                <w:sz w:val="22"/>
              </w:rPr>
              <w:t>Low single-digit organic growth; volume likely tracking to high end of guide</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April daily shipments trending above expectations; management indicated high-end tracking. Q1 organic volume +7.2% vs. guidance.</w:t>
            </w:r>
          </w:p>
        </w:tc>
      </w:tr>
      <w:tr>
        <w:tc>
          <w:tcPr>
            <w:tcW w:type="dxa" w:w="1728"/>
          </w:tcPr>
          <w:p>
            <w:r>
              <w:rPr>
                <w:rFonts w:ascii="Calibri" w:hAnsi="Calibri"/>
                <w:sz w:val="22"/>
              </w:rPr>
              <w:t>Aggregates Organic Pricing (FY 2026)</w:t>
            </w:r>
          </w:p>
        </w:tc>
        <w:tc>
          <w:tcPr>
            <w:tcW w:type="dxa" w:w="1728"/>
          </w:tcPr>
          <w:p>
            <w:r>
              <w:rPr>
                <w:rFonts w:ascii="Calibri" w:hAnsi="Calibri"/>
                <w:sz w:val="22"/>
              </w:rPr>
              <w:t>~4% organic (ex-mid-year); mid-year increases broadly across country, greater realization than 2025 expected</w:t>
            </w:r>
          </w:p>
        </w:tc>
        <w:tc>
          <w:tcPr>
            <w:tcW w:type="dxa" w:w="1728"/>
          </w:tcPr>
          <w:p>
            <w:r>
              <w:rPr>
                <w:rFonts w:ascii="Calibri" w:hAnsi="Calibri"/>
                <w:sz w:val="22"/>
              </w:rPr>
              <w:t>—</w:t>
            </w:r>
          </w:p>
        </w:tc>
        <w:tc>
          <w:tcPr>
            <w:tcW w:type="dxa" w:w="1728"/>
          </w:tcPr>
          <w:p>
            <w:r>
              <w:rPr>
                <w:rFonts w:ascii="Calibri" w:hAnsi="Calibri"/>
                <w:sz w:val="22"/>
              </w:rPr>
              <w:t>N/A (qualitative)</w:t>
            </w:r>
          </w:p>
        </w:tc>
        <w:tc>
          <w:tcPr>
            <w:tcW w:type="dxa" w:w="1728"/>
          </w:tcPr>
          <w:p>
            <w:r>
              <w:rPr>
                <w:rFonts w:ascii="Calibri" w:hAnsi="Calibri"/>
                <w:sz w:val="22"/>
              </w:rPr>
              <w:t>Mid-year increases implemented broadly; diesel inflation cited as driver. Historically ~25% in-year realization; management sees potential for above-historical given demand strength.</w:t>
            </w:r>
          </w:p>
        </w:tc>
      </w:tr>
      <w:tr>
        <w:tc>
          <w:tcPr>
            <w:tcW w:type="dxa" w:w="1728"/>
          </w:tcPr>
          <w:p>
            <w:r>
              <w:rPr>
                <w:rFonts w:ascii="Calibri" w:hAnsi="Calibri"/>
                <w:sz w:val="22"/>
              </w:rPr>
              <w:t>Diesel Headwind (FY 2026)</w:t>
            </w:r>
          </w:p>
        </w:tc>
        <w:tc>
          <w:tcPr>
            <w:tcW w:type="dxa" w:w="1728"/>
          </w:tcPr>
          <w:p>
            <w:r>
              <w:rPr>
                <w:rFonts w:ascii="Calibri" w:hAnsi="Calibri"/>
                <w:sz w:val="22"/>
              </w:rPr>
              <w:t>~$50M total company; ~$36M in aggregates; ~$20–25M in Q2</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VMC confirmed ~$40M diesel headwind in Q2 2026, validating MLM's Q2 estimate of $20–25M (MLM is smaller). Pricing is the primary offset lever.</w:t>
            </w:r>
          </w:p>
        </w:tc>
      </w:tr>
      <w:tr>
        <w:tc>
          <w:tcPr>
            <w:tcW w:type="dxa" w:w="1728"/>
          </w:tcPr>
          <w:p>
            <w:r>
              <w:rPr>
                <w:rFonts w:ascii="Calibri" w:hAnsi="Calibri"/>
                <w:sz w:val="22"/>
              </w:rPr>
              <w:t>Quikrete Integration</w:t>
            </w:r>
          </w:p>
        </w:tc>
        <w:tc>
          <w:tcPr>
            <w:tcW w:type="dxa" w:w="1728"/>
          </w:tcPr>
          <w:p>
            <w:r>
              <w:rPr>
                <w:rFonts w:ascii="Calibri" w:hAnsi="Calibri"/>
                <w:sz w:val="22"/>
              </w:rPr>
              <w:t>$17M EBITDA / 42% margin in first month (March); synergies of ~$50M over coming years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Integration tracking ahead of plan; Q2 will be first full quarter of Quikrete contribution. Remaining inventory fair-value markup (~$22M) expected to flow through Q2 as gross profit headwind (EBITDA add-back).</w:t>
            </w:r>
          </w:p>
        </w:tc>
      </w:tr>
      <w:tr>
        <w:tc>
          <w:tcPr>
            <w:tcW w:type="dxa" w:w="1728"/>
          </w:tcPr>
          <w:p>
            <w:r>
              <w:rPr>
                <w:rFonts w:ascii="Calibri" w:hAnsi="Calibri"/>
                <w:sz w:val="22"/>
              </w:rPr>
              <w:t>New Frontier Materials Acquisition</w:t>
            </w:r>
          </w:p>
        </w:tc>
        <w:tc>
          <w:tcPr>
            <w:tcW w:type="dxa" w:w="1728"/>
          </w:tcPr>
          <w:p>
            <w:r>
              <w:rPr>
                <w:rFonts w:ascii="Calibri" w:hAnsi="Calibri"/>
                <w:sz w:val="22"/>
              </w:rPr>
              <w:t>Announced April 19, 2026; expected to close H2 2026; not in 2026 guidance</w:t>
            </w:r>
          </w:p>
        </w:tc>
        <w:tc>
          <w:tcPr>
            <w:tcW w:type="dxa" w:w="1728"/>
          </w:tcPr>
          <w:p>
            <w:r>
              <w:rPr>
                <w:rFonts w:ascii="Calibri" w:hAnsi="Calibri"/>
                <w:sz w:val="22"/>
              </w:rPr>
              <w:t>Closed May 15, 2026</w:t>
            </w:r>
          </w:p>
        </w:tc>
        <w:tc>
          <w:tcPr>
            <w:tcW w:type="dxa" w:w="1728"/>
          </w:tcPr>
          <w:p>
            <w:r>
              <w:rPr>
                <w:rFonts w:ascii="Calibri" w:hAnsi="Calibri"/>
                <w:sz w:val="22"/>
              </w:rPr>
              <w:t>N/A</w:t>
            </w:r>
          </w:p>
        </w:tc>
        <w:tc>
          <w:tcPr>
            <w:tcW w:type="dxa" w:w="1728"/>
          </w:tcPr>
          <w:p>
            <w:r>
              <w:rPr>
                <w:rFonts w:ascii="Calibri" w:hAnsi="Calibri"/>
                <w:sz w:val="22"/>
              </w:rPr>
              <w:t>↑ Closed ahead of original H2 2026 expectation on May 15, 2026. ~8.5M tons aggregates + ~1.5M tons asphalt annually. Contributions not yet in guidance — upside lever for mid-year guidance raise.</w:t>
            </w:r>
          </w:p>
        </w:tc>
      </w:tr>
      <w:tr>
        <w:tc>
          <w:tcPr>
            <w:tcW w:type="dxa" w:w="1728"/>
          </w:tcPr>
          <w:p>
            <w:r>
              <w:rPr>
                <w:rFonts w:ascii="Calibri" w:hAnsi="Calibri"/>
                <w:sz w:val="22"/>
              </w:rPr>
              <w:t>Lhoist North America Acquisition</w:t>
            </w:r>
          </w:p>
        </w:tc>
        <w:tc>
          <w:tcPr>
            <w:tcW w:type="dxa" w:w="1728"/>
          </w:tcPr>
          <w:p>
            <w:r>
              <w:rPr>
                <w:rFonts w:ascii="Calibri" w:hAnsi="Calibri"/>
                <w:sz w:val="22"/>
              </w:rPr>
              <w:t>Not announced at Q1 earnings</w:t>
            </w:r>
          </w:p>
        </w:tc>
        <w:tc>
          <w:tcPr>
            <w:tcW w:type="dxa" w:w="1728"/>
          </w:tcPr>
          <w:p>
            <w:r>
              <w:rPr>
                <w:rFonts w:ascii="Calibri" w:hAnsi="Calibri"/>
                <w:sz w:val="22"/>
              </w:rPr>
              <w:t>Announced June 29, 2026: $13.5B deal ($7B cash + $6.5B stock); expected to close H2 2026</w:t>
            </w:r>
          </w:p>
        </w:tc>
        <w:tc>
          <w:tcPr>
            <w:tcW w:type="dxa" w:w="1728"/>
          </w:tcPr>
          <w:p>
            <w:r>
              <w:rPr>
                <w:rFonts w:ascii="Calibri" w:hAnsi="Calibri"/>
                <w:sz w:val="22"/>
              </w:rPr>
              <w:t>N/A</w:t>
            </w:r>
          </w:p>
        </w:tc>
        <w:tc>
          <w:tcPr>
            <w:tcW w:type="dxa" w:w="1728"/>
          </w:tcPr>
          <w:p>
            <w:r>
              <w:rPr>
                <w:rFonts w:ascii="Calibri" w:hAnsi="Calibri"/>
                <w:sz w:val="22"/>
              </w:rPr>
              <w:t>Transformational deal; ~3.7x net leverage at close, target &lt;2.5x within 24 months. ~$85M run-rate synergies. Accretive to earnings and margins in first full year. Does not affect 2026 operating guidance.</w:t>
            </w:r>
          </w:p>
        </w:tc>
      </w:tr>
    </w:tbl>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 xml:space="preserve">Q2 2026 EBITDA estimates have drifted ~$14M lower since the Q1 print baseline, likely reflecting Lhoist deal uncertainty rather than fundamental deterioration — </w:t>
      </w:r>
      <w:r>
        <w:rPr>
          <w:rFonts w:ascii="Calibri" w:hAnsi="Calibri"/>
          <w:b/>
          <w:color w:val="525866"/>
          <w:sz w:val="22"/>
        </w:rPr>
        <w:t>creating a cushion vs. the reaffirmed guidance</w:t>
      </w:r>
      <w:r>
        <w:rPr>
          <w:rFonts w:ascii="Calibri" w:hAnsi="Calibri"/>
          <w:color w:val="525866"/>
          <w:sz w:val="22"/>
        </w:rPr>
        <w:t>. FY 2026 estimates are essentially flat to the post-Q1 baseline, consistent with management's reaffirmed guidance.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KPI (Period)</w:t>
            </w:r>
          </w:p>
        </w:tc>
        <w:tc>
          <w:tcPr>
            <w:tcW w:type="dxa" w:w="1440"/>
            <w:shd w:val="clear" w:color="auto" w:fill="3B4259"/>
          </w:tcPr>
          <w:p>
            <w:r>
              <w:rPr>
                <w:rFonts w:ascii="Calibri" w:hAnsi="Calibri"/>
                <w:b/>
                <w:color w:val="FFFFFF"/>
                <w:sz w:val="22"/>
              </w:rPr>
              <w:t>Estimate ~5 Days Post Q1 Earnings (as of May 7, 2026)</w:t>
            </w:r>
          </w:p>
        </w:tc>
        <w:tc>
          <w:tcPr>
            <w:tcW w:type="dxa" w:w="1440"/>
            <w:shd w:val="clear" w:color="auto" w:fill="3B4259"/>
          </w:tcPr>
          <w:p>
            <w:r>
              <w:rPr>
                <w:rFonts w:ascii="Calibri" w:hAnsi="Calibri"/>
                <w:b/>
                <w:color w:val="FFFFFF"/>
                <w:sz w:val="22"/>
              </w:rPr>
              <w:t>Current Consensus (July 29, 2026)</w:t>
            </w:r>
          </w:p>
        </w:tc>
        <w:tc>
          <w:tcPr>
            <w:tcW w:type="dxa" w:w="1440"/>
            <w:shd w:val="clear" w:color="auto" w:fill="3B4259"/>
          </w:tcPr>
          <w:p>
            <w:r>
              <w:rPr>
                <w:rFonts w:ascii="Calibri" w:hAnsi="Calibri"/>
                <w:b/>
                <w:color w:val="FFFFFF"/>
                <w:sz w:val="22"/>
              </w:rPr>
              <w:t>Estimate Δ (%)</w:t>
            </w:r>
          </w:p>
        </w:tc>
        <w:tc>
          <w:tcPr>
            <w:tcW w:type="dxa" w:w="1440"/>
            <w:shd w:val="clear" w:color="auto" w:fill="3B4259"/>
          </w:tcPr>
          <w:p>
            <w:r>
              <w:rPr>
                <w:rFonts w:ascii="Calibri" w:hAnsi="Calibri"/>
                <w:b/>
                <w:color w:val="FFFFFF"/>
                <w:sz w:val="22"/>
              </w:rPr>
              <w:t>Initial Guidance (Q1 Call)</w:t>
            </w:r>
          </w:p>
        </w:tc>
        <w:tc>
          <w:tcPr>
            <w:tcW w:type="dxa" w:w="1440"/>
            <w:shd w:val="clear" w:color="auto" w:fill="3B4259"/>
          </w:tcPr>
          <w:p>
            <w:r>
              <w:rPr>
                <w:rFonts w:ascii="Calibri" w:hAnsi="Calibri"/>
                <w:b/>
                <w:color w:val="FFFFFF"/>
                <w:sz w:val="22"/>
              </w:rPr>
              <w:t>Consensus vs. Guidance</w:t>
            </w:r>
          </w:p>
        </w:tc>
      </w:tr>
      <w:tr>
        <w:tc>
          <w:tcPr>
            <w:tcW w:type="dxa" w:w="1440"/>
          </w:tcPr>
          <w:p>
            <w:r>
              <w:rPr>
                <w:rFonts w:ascii="Calibri" w:hAnsi="Calibri"/>
                <w:sz w:val="22"/>
              </w:rPr>
              <w:t>Adj. EBITDA — Q2 2026</w:t>
            </w:r>
          </w:p>
        </w:tc>
        <w:tc>
          <w:tcPr>
            <w:tcW w:type="dxa" w:w="1440"/>
          </w:tcPr>
          <w:p>
            <w:r>
              <w:rPr>
                <w:rFonts w:ascii="Calibri" w:hAnsi="Calibri"/>
                <w:sz w:val="22"/>
              </w:rPr>
              <w:t>$640M</w:t>
            </w:r>
          </w:p>
        </w:tc>
        <w:tc>
          <w:tcPr>
            <w:tcW w:type="dxa" w:w="1440"/>
          </w:tcPr>
          <w:p>
            <w:r>
              <w:rPr>
                <w:rFonts w:ascii="Calibri" w:hAnsi="Calibri"/>
                <w:sz w:val="22"/>
              </w:rPr>
              <w:t>$626M</w:t>
            </w:r>
          </w:p>
        </w:tc>
        <w:tc>
          <w:tcPr>
            <w:tcW w:type="dxa" w:w="1440"/>
          </w:tcPr>
          <w:p>
            <w:r>
              <w:rPr>
                <w:rFonts w:ascii="Calibri" w:hAnsi="Calibri"/>
                <w:b/>
                <w:color w:val="E5484D"/>
                <w:sz w:val="22"/>
              </w:rPr>
              <w:t>-2.2%</w:t>
            </w:r>
          </w:p>
        </w:tc>
        <w:tc>
          <w:tcPr>
            <w:tcW w:type="dxa" w:w="1440"/>
          </w:tcPr>
          <w:p>
            <w:r>
              <w:rPr>
                <w:rFonts w:ascii="Calibri" w:hAnsi="Calibri"/>
                <w:sz w:val="22"/>
              </w:rPr>
              <w:t>No specific Q2 guidance provided</w:t>
            </w:r>
          </w:p>
        </w:tc>
        <w:tc>
          <w:tcPr>
            <w:tcW w:type="dxa" w:w="1440"/>
          </w:tcPr>
          <w:p>
            <w:r>
              <w:rPr>
                <w:rFonts w:ascii="Calibri" w:hAnsi="Calibri"/>
                <w:sz w:val="22"/>
              </w:rPr>
              <w:t>N/A</w:t>
            </w:r>
          </w:p>
        </w:tc>
      </w:tr>
      <w:tr>
        <w:tc>
          <w:tcPr>
            <w:tcW w:type="dxa" w:w="1440"/>
          </w:tcPr>
          <w:p>
            <w:r>
              <w:rPr>
                <w:rFonts w:ascii="Calibri" w:hAnsi="Calibri"/>
                <w:sz w:val="22"/>
              </w:rPr>
              <w:t>Adj. EBITDA — FY 2026</w:t>
            </w:r>
          </w:p>
        </w:tc>
        <w:tc>
          <w:tcPr>
            <w:tcW w:type="dxa" w:w="1440"/>
          </w:tcPr>
          <w:p>
            <w:r>
              <w:rPr>
                <w:rFonts w:ascii="Calibri" w:hAnsi="Calibri"/>
                <w:sz w:val="22"/>
              </w:rPr>
              <w:t>$2,414M</w:t>
            </w:r>
          </w:p>
        </w:tc>
        <w:tc>
          <w:tcPr>
            <w:tcW w:type="dxa" w:w="1440"/>
          </w:tcPr>
          <w:p>
            <w:r>
              <w:rPr>
                <w:rFonts w:ascii="Calibri" w:hAnsi="Calibri"/>
                <w:sz w:val="22"/>
              </w:rPr>
              <w:t>$2,411M</w:t>
            </w:r>
          </w:p>
        </w:tc>
        <w:tc>
          <w:tcPr>
            <w:tcW w:type="dxa" w:w="1440"/>
          </w:tcPr>
          <w:p>
            <w:r>
              <w:rPr>
                <w:rFonts w:ascii="Calibri" w:hAnsi="Calibri"/>
                <w:sz w:val="22"/>
              </w:rPr>
              <w:t>-0.1%</w:t>
            </w:r>
          </w:p>
        </w:tc>
        <w:tc>
          <w:tcPr>
            <w:tcW w:type="dxa" w:w="1440"/>
          </w:tcPr>
          <w:p>
            <w:r>
              <w:rPr>
                <w:rFonts w:ascii="Calibri" w:hAnsi="Calibri"/>
                <w:sz w:val="22"/>
              </w:rPr>
              <w:t>$2,430M midpoint</w:t>
            </w:r>
          </w:p>
        </w:tc>
        <w:tc>
          <w:tcPr>
            <w:tcW w:type="dxa" w:w="1440"/>
          </w:tcPr>
          <w:p>
            <w:r>
              <w:rPr>
                <w:rFonts w:ascii="Calibri" w:hAnsi="Calibri"/>
                <w:sz w:val="22"/>
              </w:rPr>
              <w:t>-0.8% below guidance midpoint</w:t>
            </w:r>
          </w:p>
        </w:tc>
      </w:tr>
      <w:tr>
        <w:tc>
          <w:tcPr>
            <w:tcW w:type="dxa" w:w="1440"/>
          </w:tcPr>
          <w:p>
            <w:r>
              <w:rPr>
                <w:rFonts w:ascii="Calibri" w:hAnsi="Calibri"/>
                <w:sz w:val="22"/>
              </w:rPr>
              <w:t>Adj. EPS (Diluted) — Q2 2026</w:t>
            </w:r>
          </w:p>
        </w:tc>
        <w:tc>
          <w:tcPr>
            <w:tcW w:type="dxa" w:w="1440"/>
          </w:tcPr>
          <w:p>
            <w:r>
              <w:rPr>
                <w:rFonts w:ascii="Calibri" w:hAnsi="Calibri"/>
                <w:sz w:val="22"/>
              </w:rPr>
              <w:t>$5.11</w:t>
            </w:r>
          </w:p>
        </w:tc>
        <w:tc>
          <w:tcPr>
            <w:tcW w:type="dxa" w:w="1440"/>
          </w:tcPr>
          <w:p>
            <w:r>
              <w:rPr>
                <w:rFonts w:ascii="Calibri" w:hAnsi="Calibri"/>
                <w:sz w:val="22"/>
              </w:rPr>
              <w:t>$4.94</w:t>
            </w:r>
          </w:p>
        </w:tc>
        <w:tc>
          <w:tcPr>
            <w:tcW w:type="dxa" w:w="1440"/>
          </w:tcPr>
          <w:p>
            <w:r>
              <w:rPr>
                <w:rFonts w:ascii="Calibri" w:hAnsi="Calibri"/>
                <w:b/>
                <w:color w:val="E5484D"/>
                <w:sz w:val="22"/>
              </w:rPr>
              <w:t>-3.3%</w:t>
            </w:r>
          </w:p>
        </w:tc>
        <w:tc>
          <w:tcPr>
            <w:tcW w:type="dxa" w:w="1440"/>
          </w:tcPr>
          <w:p>
            <w:r>
              <w:rPr>
                <w:rFonts w:ascii="Calibri" w:hAnsi="Calibri"/>
                <w:sz w:val="22"/>
              </w:rPr>
              <w:t>No specific Q2 guidance provided</w:t>
            </w:r>
          </w:p>
        </w:tc>
        <w:tc>
          <w:tcPr>
            <w:tcW w:type="dxa" w:w="1440"/>
          </w:tcPr>
          <w:p>
            <w:r>
              <w:rPr>
                <w:rFonts w:ascii="Calibri" w:hAnsi="Calibri"/>
                <w:sz w:val="22"/>
              </w:rPr>
              <w:t>N/A</w:t>
            </w:r>
          </w:p>
        </w:tc>
      </w:tr>
      <w:tr>
        <w:tc>
          <w:tcPr>
            <w:tcW w:type="dxa" w:w="1440"/>
          </w:tcPr>
          <w:p>
            <w:r>
              <w:rPr>
                <w:rFonts w:ascii="Calibri" w:hAnsi="Calibri"/>
                <w:sz w:val="22"/>
              </w:rPr>
              <w:t>Adj. EPS (Diluted) — FY 2026</w:t>
            </w:r>
          </w:p>
        </w:tc>
        <w:tc>
          <w:tcPr>
            <w:tcW w:type="dxa" w:w="1440"/>
          </w:tcPr>
          <w:p>
            <w:r>
              <w:rPr>
                <w:rFonts w:ascii="Calibri" w:hAnsi="Calibri"/>
                <w:sz w:val="22"/>
              </w:rPr>
              <w:t>$19.23</w:t>
            </w:r>
          </w:p>
        </w:tc>
        <w:tc>
          <w:tcPr>
            <w:tcW w:type="dxa" w:w="1440"/>
          </w:tcPr>
          <w:p>
            <w:r>
              <w:rPr>
                <w:rFonts w:ascii="Calibri" w:hAnsi="Calibri"/>
                <w:sz w:val="22"/>
              </w:rPr>
              <w:t>$19.31</w:t>
            </w:r>
          </w:p>
        </w:tc>
        <w:tc>
          <w:tcPr>
            <w:tcW w:type="dxa" w:w="1440"/>
          </w:tcPr>
          <w:p>
            <w:r>
              <w:rPr>
                <w:rFonts w:ascii="Calibri" w:hAnsi="Calibri"/>
                <w:b/>
                <w:color w:val="30A46C"/>
                <w:sz w:val="22"/>
              </w:rPr>
              <w:t>+0.4%</w:t>
            </w:r>
          </w:p>
        </w:tc>
        <w:tc>
          <w:tcPr>
            <w:tcW w:type="dxa" w:w="1440"/>
          </w:tcPr>
          <w:p>
            <w:r>
              <w:rPr>
                <w:rFonts w:ascii="Calibri" w:hAnsi="Calibri"/>
                <w:sz w:val="22"/>
              </w:rPr>
              <w:t>No specific EPS guidance</w:t>
            </w:r>
          </w:p>
        </w:tc>
        <w:tc>
          <w:tcPr>
            <w:tcW w:type="dxa" w:w="1440"/>
          </w:tcPr>
          <w:p>
            <w:r>
              <w:rPr>
                <w:rFonts w:ascii="Calibri" w:hAnsi="Calibri"/>
                <w:sz w:val="22"/>
              </w:rPr>
              <w:t>N/A</w:t>
            </w:r>
          </w:p>
        </w:tc>
      </w:tr>
      <w:tr>
        <w:tc>
          <w:tcPr>
            <w:tcW w:type="dxa" w:w="1440"/>
          </w:tcPr>
          <w:p>
            <w:r>
              <w:rPr>
                <w:rFonts w:ascii="Calibri" w:hAnsi="Calibri"/>
                <w:sz w:val="22"/>
              </w:rPr>
              <w:t>Aggregates Volume — Q2 2026 (KTons)</w:t>
            </w:r>
          </w:p>
        </w:tc>
        <w:tc>
          <w:tcPr>
            <w:tcW w:type="dxa" w:w="1440"/>
          </w:tcPr>
          <w:p>
            <w:r>
              <w:rPr>
                <w:rFonts w:ascii="Calibri" w:hAnsi="Calibri"/>
                <w:sz w:val="22"/>
              </w:rPr>
              <w:t>60,165 KT</w:t>
            </w:r>
          </w:p>
        </w:tc>
        <w:tc>
          <w:tcPr>
            <w:tcW w:type="dxa" w:w="1440"/>
          </w:tcPr>
          <w:p>
            <w:r>
              <w:rPr>
                <w:rFonts w:ascii="Calibri" w:hAnsi="Calibri"/>
                <w:sz w:val="22"/>
              </w:rPr>
              <w:t>59,645 KT</w:t>
            </w:r>
          </w:p>
        </w:tc>
        <w:tc>
          <w:tcPr>
            <w:tcW w:type="dxa" w:w="1440"/>
          </w:tcPr>
          <w:p>
            <w:r>
              <w:rPr>
                <w:rFonts w:ascii="Calibri" w:hAnsi="Calibri"/>
                <w:sz w:val="22"/>
              </w:rPr>
              <w:t>-0.9%</w:t>
            </w:r>
          </w:p>
        </w:tc>
        <w:tc>
          <w:tcPr>
            <w:tcW w:type="dxa" w:w="1440"/>
          </w:tcPr>
          <w:p>
            <w:r>
              <w:rPr>
                <w:rFonts w:ascii="Calibri" w:hAnsi="Calibri"/>
                <w:sz w:val="22"/>
              </w:rPr>
              <w:t>No specific Q2 volume guidance</w:t>
            </w:r>
          </w:p>
        </w:tc>
        <w:tc>
          <w:tcPr>
            <w:tcW w:type="dxa" w:w="1440"/>
          </w:tcPr>
          <w:p>
            <w:r>
              <w:rPr>
                <w:rFonts w:ascii="Calibri" w:hAnsi="Calibri"/>
                <w:sz w:val="22"/>
              </w:rPr>
              <w:t>N/A</w:t>
            </w:r>
          </w:p>
        </w:tc>
      </w:tr>
      <w:tr>
        <w:tc>
          <w:tcPr>
            <w:tcW w:type="dxa" w:w="1440"/>
          </w:tcPr>
          <w:p>
            <w:r>
              <w:rPr>
                <w:rFonts w:ascii="Calibri" w:hAnsi="Calibri"/>
                <w:sz w:val="22"/>
              </w:rPr>
              <w:t>Aggregates Volume — FY 2026 (KTons)</w:t>
            </w:r>
          </w:p>
        </w:tc>
        <w:tc>
          <w:tcPr>
            <w:tcW w:type="dxa" w:w="1440"/>
          </w:tcPr>
          <w:p>
            <w:r>
              <w:rPr>
                <w:rFonts w:ascii="Calibri" w:hAnsi="Calibri"/>
                <w:sz w:val="22"/>
              </w:rPr>
              <w:t>223,303 KT</w:t>
            </w:r>
          </w:p>
        </w:tc>
        <w:tc>
          <w:tcPr>
            <w:tcW w:type="dxa" w:w="1440"/>
          </w:tcPr>
          <w:p>
            <w:r>
              <w:rPr>
                <w:rFonts w:ascii="Calibri" w:hAnsi="Calibri"/>
                <w:sz w:val="22"/>
              </w:rPr>
              <w:t>223,771 KT</w:t>
            </w:r>
          </w:p>
        </w:tc>
        <w:tc>
          <w:tcPr>
            <w:tcW w:type="dxa" w:w="1440"/>
          </w:tcPr>
          <w:p>
            <w:r>
              <w:rPr>
                <w:rFonts w:ascii="Calibri" w:hAnsi="Calibri"/>
                <w:sz w:val="22"/>
              </w:rPr>
              <w:t>+0.2%</w:t>
            </w:r>
          </w:p>
        </w:tc>
        <w:tc>
          <w:tcPr>
            <w:tcW w:type="dxa" w:w="1440"/>
          </w:tcPr>
          <w:p>
            <w:r>
              <w:rPr>
                <w:rFonts w:ascii="Calibri" w:hAnsi="Calibri"/>
                <w:sz w:val="22"/>
              </w:rPr>
              <w:t>Low single-digit organic growth</w:t>
            </w:r>
          </w:p>
        </w:tc>
        <w:tc>
          <w:tcPr>
            <w:tcW w:type="dxa" w:w="1440"/>
          </w:tcPr>
          <w:p>
            <w:r>
              <w:rPr>
                <w:rFonts w:ascii="Calibri" w:hAnsi="Calibri"/>
                <w:sz w:val="22"/>
              </w:rPr>
              <w:t>Tracking to guidance</w:t>
            </w:r>
          </w:p>
        </w:tc>
      </w:tr>
      <w:tr>
        <w:tc>
          <w:tcPr>
            <w:tcW w:type="dxa" w:w="1440"/>
          </w:tcPr>
          <w:p>
            <w:r>
              <w:rPr>
                <w:rFonts w:ascii="Calibri" w:hAnsi="Calibri"/>
                <w:sz w:val="22"/>
              </w:rPr>
              <w:t>Aggregates Avg. Price — Q2 2026 ($/ton)</w:t>
            </w:r>
          </w:p>
        </w:tc>
        <w:tc>
          <w:tcPr>
            <w:tcW w:type="dxa" w:w="1440"/>
          </w:tcPr>
          <w:p>
            <w:r>
              <w:rPr>
                <w:rFonts w:ascii="Calibri" w:hAnsi="Calibri"/>
                <w:sz w:val="22"/>
              </w:rPr>
              <w:t>$23.67</w:t>
            </w:r>
          </w:p>
        </w:tc>
        <w:tc>
          <w:tcPr>
            <w:tcW w:type="dxa" w:w="1440"/>
          </w:tcPr>
          <w:p>
            <w:r>
              <w:rPr>
                <w:rFonts w:ascii="Calibri" w:hAnsi="Calibri"/>
                <w:sz w:val="22"/>
              </w:rPr>
              <w:t>$23.62</w:t>
            </w:r>
          </w:p>
        </w:tc>
        <w:tc>
          <w:tcPr>
            <w:tcW w:type="dxa" w:w="1440"/>
          </w:tcPr>
          <w:p>
            <w:r>
              <w:rPr>
                <w:rFonts w:ascii="Calibri" w:hAnsi="Calibri"/>
                <w:sz w:val="22"/>
              </w:rPr>
              <w:t>-0.2%</w:t>
            </w:r>
          </w:p>
        </w:tc>
        <w:tc>
          <w:tcPr>
            <w:tcW w:type="dxa" w:w="1440"/>
          </w:tcPr>
          <w:p>
            <w:r>
              <w:rPr>
                <w:rFonts w:ascii="Calibri" w:hAnsi="Calibri"/>
                <w:sz w:val="22"/>
              </w:rPr>
              <w:t>Mid-single digit organic pricing</w:t>
            </w:r>
          </w:p>
        </w:tc>
        <w:tc>
          <w:tcPr>
            <w:tcW w:type="dxa" w:w="1440"/>
          </w:tcPr>
          <w:p>
            <w:r>
              <w:rPr>
                <w:rFonts w:ascii="Calibri" w:hAnsi="Calibri"/>
                <w:sz w:val="22"/>
              </w:rPr>
              <w:t>Below guidance; mid-year increases not yet embedded</w:t>
            </w:r>
          </w:p>
        </w:tc>
      </w:tr>
      <w:tr>
        <w:tc>
          <w:tcPr>
            <w:tcW w:type="dxa" w:w="1440"/>
          </w:tcPr>
          <w:p>
            <w:r>
              <w:rPr>
                <w:rFonts w:ascii="Calibri" w:hAnsi="Calibri"/>
                <w:sz w:val="22"/>
              </w:rPr>
              <w:t>Total Revenue — FY 2026</w:t>
            </w:r>
          </w:p>
        </w:tc>
        <w:tc>
          <w:tcPr>
            <w:tcW w:type="dxa" w:w="1440"/>
          </w:tcPr>
          <w:p>
            <w:r>
              <w:rPr>
                <w:rFonts w:ascii="Calibri" w:hAnsi="Calibri"/>
                <w:sz w:val="22"/>
              </w:rPr>
              <w:t>$7,124M</w:t>
            </w:r>
          </w:p>
        </w:tc>
        <w:tc>
          <w:tcPr>
            <w:tcW w:type="dxa" w:w="1440"/>
          </w:tcPr>
          <w:p>
            <w:r>
              <w:rPr>
                <w:rFonts w:ascii="Calibri" w:hAnsi="Calibri"/>
                <w:sz w:val="22"/>
              </w:rPr>
              <w:t>$7,142M</w:t>
            </w:r>
          </w:p>
        </w:tc>
        <w:tc>
          <w:tcPr>
            <w:tcW w:type="dxa" w:w="1440"/>
          </w:tcPr>
          <w:p>
            <w:r>
              <w:rPr>
                <w:rFonts w:ascii="Calibri" w:hAnsi="Calibri"/>
                <w:sz w:val="22"/>
              </w:rPr>
              <w:t>+0.3%</w:t>
            </w:r>
          </w:p>
        </w:tc>
        <w:tc>
          <w:tcPr>
            <w:tcW w:type="dxa" w:w="1440"/>
          </w:tcPr>
          <w:p>
            <w:r>
              <w:rPr>
                <w:rFonts w:ascii="Calibri" w:hAnsi="Calibri"/>
                <w:sz w:val="22"/>
              </w:rPr>
              <w:t>No specific revenue guidance</w:t>
            </w:r>
          </w:p>
        </w:tc>
        <w:tc>
          <w:tcPr>
            <w:tcW w:type="dxa" w:w="1440"/>
          </w:tcPr>
          <w:p>
            <w:r>
              <w:rPr>
                <w:rFonts w:ascii="Calibri" w:hAnsi="Calibri"/>
                <w:sz w:val="22"/>
              </w:rPr>
              <w:t>N/A</w:t>
            </w:r>
          </w:p>
        </w:tc>
      </w:tr>
    </w:tbl>
    <w:p>
      <w:r>
        <w:rPr>
          <w:rFonts w:ascii="Calibri" w:hAnsi="Calibri"/>
          <w:color w:val="525866"/>
          <w:sz w:val="22"/>
        </w:rPr>
        <w:t>The modest downward drift in Q2 EBITDA and EPS estimates since the post-Q1 baseline reflects deal-related uncertainty (Lhoist dilution/leverage concerns) rather than any change in operating fundamentals. FY 2026 estimates are essentially unchanged and sit just below management's reaffirmed $2.43B midpoint, implying the Street is not yet embedding the mid-year pricing upside or New Frontier contributions that management flagged as meaningful upsides. Source: Visible Alpha.</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 xml:space="preserve">MLM has underperformed both XLB and the S&amp;P 500 since the Q1 2026 earnings date, declining ~8% vs. XLB roughly flat and SPY +2% — </w:t>
      </w:r>
      <w:r>
        <w:rPr>
          <w:rFonts w:ascii="Calibri" w:hAnsi="Calibri"/>
          <w:b/>
          <w:color w:val="525866"/>
          <w:sz w:val="22"/>
        </w:rPr>
        <w:t>the underperformance is almost entirely attributable to the Lhoist acquisition announcement on June 29</w:t>
      </w:r>
      <w:r>
        <w:rPr>
          <w:rFonts w:ascii="Calibri" w:hAnsi="Calibri"/>
          <w:color w:val="525866"/>
          <w:sz w:val="22"/>
        </w:rPr>
        <w:t>, not fundamental deterioration, creating a potential re-rating opportunity if Q2 results confirm the organic story.</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MLM vs. XLB (Materials ETF) vs. S&amp;P 500 (SPY) — Indexed to 100 at April 30, 2026 (Q1 2026 Earnings Date). Source: Stock Price Data.</w:t>
      </w:r>
    </w:p>
    <w:p>
      <w:r>
        <w:rPr>
          <w:rFonts w:ascii="Calibri" w:hAnsi="Calibri"/>
          <w:color w:val="525866"/>
          <w:sz w:val="22"/>
        </w:rPr>
        <w:t xml:space="preserve">MLM opened Q2 at $619 on April 30 (earnings day) and traded as high as $629 in late June before the Lhoist deal announcement on June 29 triggered a sharp ~6% single-day decline to $581. The stock has since stabilized in the $550–$585 range, closing at $570 on July 28 (post-market $570). The underperformance vs. XLB is notable given that the materials sector itself was broadly flat over the period — isolating the Lhoist deal overhang as the primary driver. VMC, the closest peer, also declined modestly over the same period but outperformed MLM by ~5 percentage points, consistent with VMC not having a large deal announcement. The sector ETF used is </w:t>
      </w:r>
    </w:p>
    <w:p>
      <w:r>
        <w:rPr>
          <w:rFonts w:ascii="Calibri" w:hAnsi="Calibri"/>
          <w:b/>
          <w:color w:val="525866"/>
          <w:sz w:val="22"/>
        </w:rPr>
        <w:t>XLB (Materials Select Sector SPDR ETF)</w:t>
      </w:r>
      <w:r>
        <w:rPr>
          <w:rFonts w:ascii="Calibri" w:hAnsi="Calibri"/>
          <w:color w:val="525866"/>
          <w:sz w:val="22"/>
        </w:rPr>
        <w:t xml:space="preserve"> — appropriate for MLM's sub-sector as a diversified building materials and aggregates producer within the S&amp;P 500 Materials sector. Key events marked: (1) Q1 2026 earnings (April 30); (2) New Frontier Materials close (May 15); (3) Lhoist acquisition announcement (June 29); (4) $1.5B term loan secured for Lhoist (July 15).</w:t>
      </w:r>
    </w:p>
    <w:p>
      <w:r>
        <w:br w:type="page"/>
      </w:r>
    </w:p>
    <w:p>
      <w:pPr>
        <w:pStyle w:val="Heading2"/>
      </w:pPr>
      <w:r>
        <w:rPr>
          <w:rFonts w:ascii="Calibri" w:hAnsi="Calibri"/>
          <w:b/>
          <w:color w:val="3B4259"/>
          <w:sz w:val="28"/>
        </w:rPr>
        <w:t>Peer Commentaries — Q2 2026 Read-Through</w:t>
      </w:r>
    </w:p>
    <w:p>
      <w:r>
        <w:rPr>
          <w:rFonts w:ascii="Calibri" w:hAnsi="Calibri"/>
          <w:b/>
          <w:color w:val="525866"/>
          <w:sz w:val="22"/>
        </w:rPr>
        <w:t xml:space="preserve">Key Takeaway: </w:t>
      </w:r>
      <w:r>
        <w:rPr>
          <w:rFonts w:ascii="Calibri" w:hAnsi="Calibri"/>
          <w:color w:val="525866"/>
          <w:sz w:val="22"/>
        </w:rPr>
        <w:t xml:space="preserve">Peer commentary from VMC (Q2 2026, reported today) and EXP (fiscal Q1 FY2027, covering April–June 2026, also reported today) collectively paint a </w:t>
      </w:r>
      <w:r>
        <w:rPr>
          <w:rFonts w:ascii="Calibri" w:hAnsi="Calibri"/>
          <w:b/>
          <w:color w:val="525866"/>
          <w:sz w:val="22"/>
        </w:rPr>
        <w:t>constructive demand backdrop for MLM's Q2 print</w:t>
      </w:r>
      <w:r>
        <w:rPr>
          <w:rFonts w:ascii="Calibri" w:hAnsi="Calibri"/>
          <w:color w:val="525866"/>
          <w:sz w:val="22"/>
        </w:rPr>
        <w:t xml:space="preserve"> — healthy public infrastructure volumes, mid-year pricing executing as expected or better, and data center/energy demand accelerating — while flagging diesel as a persistent cost headwind that pricing discipline must offset.</w:t>
      </w:r>
    </w:p>
    <w:p>
      <w:pPr>
        <w:pStyle w:val="Heading3"/>
      </w:pPr>
      <w:r>
        <w:rPr>
          <w:rFonts w:ascii="Calibri" w:hAnsi="Calibri"/>
          <w:b/>
          <w:color w:val="3B4259"/>
          <w:sz w:val="24"/>
        </w:rPr>
        <w:t>VMC (Vulcan Materials) — Q2 2026 Earnings (Reported July 29, 2026)</w:t>
      </w:r>
    </w:p>
    <w:p>
      <w:r>
        <w:rPr>
          <w:rFonts w:ascii="Calibri" w:hAnsi="Calibri"/>
          <w:color w:val="525866"/>
          <w:sz w:val="22"/>
        </w:rPr>
        <w:t>VMC is the most direct and timely read-through for MLM, reporting Q2 2026 results today. Both companies are pure-play aggregates producers with overlapping geographies and end-market exposure.</w:t>
      </w:r>
    </w:p>
    <w:p>
      <w:pPr>
        <w:pStyle w:val="ListBullet"/>
        <w:ind w:left="360" w:hanging="360"/>
      </w:pPr>
      <w:r>
        <w:rPr>
          <w:rFonts w:ascii="Calibri" w:hAnsi="Calibri"/>
          <w:b/>
          <w:color w:val="525866"/>
          <w:sz w:val="22"/>
        </w:rPr>
        <w:t xml:space="preserve">Volume: </w:t>
      </w:r>
      <w:r>
        <w:rPr>
          <w:rFonts w:ascii="Calibri" w:hAnsi="Calibri"/>
          <w:color w:val="525866"/>
          <w:sz w:val="22"/>
        </w:rPr>
        <w:t xml:space="preserve">Aggregates shipments +1% YoY in Q2, varying widely by geography due to weather. VMC expects modest full-year shipment growth and reiterated full-year adjusted EBITDA guidance of $2.4B–$2.6B. Healthy backlogs and robust quoting activity entering H2. </w:t>
      </w:r>
    </w:p>
    <w:p>
      <w:pPr>
        <w:pStyle w:val="ListBullet"/>
        <w:ind w:left="360" w:hanging="360"/>
      </w:pPr>
      <w:r>
        <w:rPr>
          <w:rFonts w:ascii="Calibri" w:hAnsi="Calibri"/>
          <w:b/>
          <w:color w:val="525866"/>
          <w:sz w:val="22"/>
        </w:rPr>
        <w:t xml:space="preserve">Pricing: </w:t>
      </w:r>
      <w:r>
        <w:rPr>
          <w:rFonts w:ascii="Calibri" w:hAnsi="Calibri"/>
          <w:color w:val="525866"/>
          <w:sz w:val="22"/>
        </w:rPr>
        <w:t xml:space="preserve">Aggregates ASP +5% YoY on a mix-adjusted basis, with improvement widespread across geographies. </w:t>
      </w:r>
    </w:p>
    <w:p>
      <w:pPr>
        <w:pStyle w:val="ListBullet"/>
        <w:ind w:left="360" w:hanging="360"/>
      </w:pPr>
      <w:r>
        <w:rPr>
          <w:rFonts w:ascii="Calibri" w:hAnsi="Calibri"/>
          <w:b/>
          <w:color w:val="525866"/>
          <w:sz w:val="22"/>
        </w:rPr>
        <w:t xml:space="preserve">Mid-Year Price Increases: </w:t>
      </w:r>
      <w:r>
        <w:rPr>
          <w:rFonts w:ascii="Calibri" w:hAnsi="Calibri"/>
          <w:color w:val="525866"/>
          <w:sz w:val="22"/>
        </w:rPr>
        <w:t>Pulled forward to June; sequential improvement ~2x better than prior year. Management stated pricing is the "biggest lever to overcome fuel" and will be "very aggressive in moving price" if diesel remains sticky. Pricing cadence expected to exit the year at the upper end of the range. This is a strong positive read-through for MLM's mid-year pricing initiative.</w:t>
      </w:r>
    </w:p>
    <w:p>
      <w:pPr>
        <w:pStyle w:val="ListBullet"/>
        <w:ind w:left="360" w:hanging="360"/>
      </w:pPr>
      <w:r>
        <w:rPr>
          <w:rFonts w:ascii="Calibri" w:hAnsi="Calibri"/>
          <w:b/>
          <w:color w:val="525866"/>
          <w:sz w:val="22"/>
        </w:rPr>
        <w:t xml:space="preserve">Diesel Headwind: </w:t>
      </w:r>
      <w:r>
        <w:rPr>
          <w:rFonts w:ascii="Calibri" w:hAnsi="Calibri"/>
          <w:color w:val="525866"/>
          <w:sz w:val="22"/>
        </w:rPr>
        <w:t>~$40M energy headwind in Q2 despite which VMC delivered EBITDA approximately in line with prior year. Cost inflation expected to be better in H2 due to non-recurring repair/insurance costs from prior year not repeating and seasonally higher tonnage.</w:t>
      </w:r>
    </w:p>
    <w:p>
      <w:pPr>
        <w:pStyle w:val="ListBullet"/>
        <w:ind w:left="360" w:hanging="360"/>
      </w:pPr>
      <w:r>
        <w:rPr>
          <w:rFonts w:ascii="Calibri" w:hAnsi="Calibri"/>
          <w:b/>
          <w:color w:val="525866"/>
          <w:sz w:val="22"/>
        </w:rPr>
        <w:t xml:space="preserve">Public Infrastructure: </w:t>
      </w:r>
      <w:r>
        <w:rPr>
          <w:rFonts w:ascii="Calibri" w:hAnsi="Calibri"/>
          <w:color w:val="525866"/>
          <w:sz w:val="22"/>
        </w:rPr>
        <w:t>Highway Awards in Vulcan markets up double digits YoY; public infrastructure awards up 20% YoY in Vulcan markets. The House T&amp;I Committee passed the Build America 250 Act with bipartisan support — considered better for aggregates than IIJA (formula-first, highway-focused). 60% of IIJA funds still to be spent, providing multi-year visibility.</w:t>
      </w:r>
    </w:p>
    <w:p>
      <w:pPr>
        <w:pStyle w:val="ListBullet"/>
        <w:ind w:left="360" w:hanging="360"/>
      </w:pPr>
      <w:r>
        <w:rPr>
          <w:rFonts w:ascii="Calibri" w:hAnsi="Calibri"/>
          <w:b/>
          <w:color w:val="525866"/>
          <w:sz w:val="22"/>
        </w:rPr>
        <w:t xml:space="preserve">Private Non-Res: </w:t>
      </w:r>
      <w:r>
        <w:rPr>
          <w:rFonts w:ascii="Calibri" w:hAnsi="Calibri"/>
          <w:color w:val="525866"/>
          <w:sz w:val="22"/>
        </w:rPr>
        <w:t>Data centers, power infrastructure (including LNG projects and coal-to-gas conversions), and other manufacturing driving demand. Power generation expected to be a 4–5 year tailwind, not a short-term blip. Warehousing generally flat.</w:t>
      </w:r>
    </w:p>
    <w:p>
      <w:pPr>
        <w:pStyle w:val="ListBullet"/>
        <w:ind w:left="360" w:hanging="360"/>
      </w:pPr>
      <w:r>
        <w:rPr>
          <w:rFonts w:ascii="Calibri" w:hAnsi="Calibri"/>
          <w:b/>
          <w:color w:val="525866"/>
          <w:sz w:val="22"/>
        </w:rPr>
        <w:t xml:space="preserve">Residential: </w:t>
      </w:r>
      <w:r>
        <w:rPr>
          <w:rFonts w:ascii="Calibri" w:hAnsi="Calibri"/>
          <w:color w:val="525866"/>
          <w:sz w:val="22"/>
        </w:rPr>
        <w:t>Continues to struggle due to affordability; long-term recovery expected given fundamental housing need.</w:t>
      </w:r>
    </w:p>
    <w:p>
      <w:pPr>
        <w:pStyle w:val="ListBullet"/>
        <w:ind w:left="360" w:hanging="360"/>
      </w:pPr>
      <w:r>
        <w:rPr>
          <w:rFonts w:ascii="Calibri" w:hAnsi="Calibri"/>
          <w:b/>
          <w:color w:val="525866"/>
          <w:sz w:val="22"/>
        </w:rPr>
        <w:t xml:space="preserve">MLM Read-Through: </w:t>
      </w:r>
      <w:r>
        <w:rPr>
          <w:rFonts w:ascii="Calibri" w:hAnsi="Calibri"/>
          <w:color w:val="525866"/>
          <w:sz w:val="22"/>
        </w:rPr>
        <w:t>VMC's Q2 confirms the demand environment MLM described on its Q1 call is intact. The mid-year pricing execution (2x better sequentially) is the most important data point — if MLM achieves similar execution, aggregates gross profit per ton could surprise to the upside vs. the $23.62/ton consensus estimate.</w:t>
      </w:r>
    </w:p>
    <w:p>
      <w:pPr>
        <w:pStyle w:val="Heading3"/>
      </w:pPr>
      <w:r>
        <w:rPr>
          <w:rFonts w:ascii="Calibri" w:hAnsi="Calibri"/>
          <w:b/>
          <w:color w:val="3B4259"/>
          <w:sz w:val="24"/>
        </w:rPr>
        <w:t>EXP (Eagle Materials) — Q1 FY2027 Earnings (Quarter Ended June 30, 2026; Reported July 29, 2026)</w:t>
      </w:r>
    </w:p>
    <w:p>
      <w:r>
        <w:rPr>
          <w:rFonts w:ascii="Calibri" w:hAnsi="Calibri"/>
          <w:color w:val="525866"/>
          <w:sz w:val="22"/>
        </w:rPr>
        <w:t>Eagle Materials' fiscal Q1 FY2027 covers the same calendar period as MLM's Q2 2026 (April–June 2026), making this a direct same-period read-through. EXP has meaningful aggregates and cement exposure with geographic overlap in Texas and the Southwest.</w:t>
      </w:r>
    </w:p>
    <w:p>
      <w:pPr>
        <w:pStyle w:val="ListBullet"/>
        <w:ind w:left="360" w:hanging="360"/>
      </w:pPr>
      <w:r>
        <w:rPr>
          <w:rFonts w:ascii="Calibri" w:hAnsi="Calibri"/>
          <w:b/>
          <w:color w:val="525866"/>
          <w:sz w:val="22"/>
        </w:rPr>
        <w:t xml:space="preserve">Revenue &amp; Volume: </w:t>
      </w:r>
      <w:r>
        <w:rPr>
          <w:rFonts w:ascii="Calibri" w:hAnsi="Calibri"/>
          <w:color w:val="525866"/>
          <w:sz w:val="22"/>
        </w:rPr>
        <w:t>Record revenue of $651M in the quarter; heavy materials sector (cement + aggregates) revenue up 8%, driven by increased cement and aggregate sales volume — described as "healthy underlying demand."</w:t>
      </w:r>
    </w:p>
    <w:p>
      <w:pPr>
        <w:pStyle w:val="ListBullet"/>
        <w:ind w:left="360" w:hanging="360"/>
      </w:pPr>
      <w:r>
        <w:rPr>
          <w:rFonts w:ascii="Calibri" w:hAnsi="Calibri"/>
          <w:b/>
          <w:color w:val="525866"/>
          <w:sz w:val="22"/>
        </w:rPr>
        <w:t xml:space="preserve">Aggregates Volume: </w:t>
      </w:r>
      <w:r>
        <w:rPr>
          <w:rFonts w:ascii="Calibri" w:hAnsi="Calibri"/>
          <w:color w:val="525866"/>
          <w:sz w:val="22"/>
        </w:rPr>
        <w:t>Aggregate sales volume growth supported by pricing initiatives. Volume growth driven by public infrastructure spending (IIJA + state DOT budgets) and private non-residential (data centers).</w:t>
      </w:r>
    </w:p>
    <w:p>
      <w:pPr>
        <w:pStyle w:val="ListBullet"/>
        <w:ind w:left="360" w:hanging="360"/>
      </w:pPr>
      <w:r>
        <w:rPr>
          <w:rFonts w:ascii="Calibri" w:hAnsi="Calibri"/>
          <w:b/>
          <w:color w:val="525866"/>
          <w:sz w:val="22"/>
        </w:rPr>
        <w:t xml:space="preserve">Infrastructure Demand: </w:t>
      </w:r>
      <w:r>
        <w:rPr>
          <w:rFonts w:ascii="Calibri" w:hAnsi="Calibri"/>
          <w:color w:val="525866"/>
          <w:sz w:val="22"/>
        </w:rPr>
        <w:t>Customers report "a robust pipeline of multiyear infrastructure projects." Federal IIJA spending and elevated state DOT budgets remain supportive. Oklahoma cited as an example with more than double the miles and funding levels.</w:t>
      </w:r>
    </w:p>
    <w:p>
      <w:pPr>
        <w:pStyle w:val="ListBullet"/>
        <w:ind w:left="360" w:hanging="360"/>
      </w:pPr>
      <w:r>
        <w:rPr>
          <w:rFonts w:ascii="Calibri" w:hAnsi="Calibri"/>
          <w:b/>
          <w:color w:val="525866"/>
          <w:sz w:val="22"/>
        </w:rPr>
        <w:t xml:space="preserve">Data Centers: </w:t>
      </w:r>
      <w:r>
        <w:rPr>
          <w:rFonts w:ascii="Calibri" w:hAnsi="Calibri"/>
          <w:color w:val="525866"/>
          <w:sz w:val="22"/>
        </w:rPr>
        <w:t>EXP bid double the number of data centers in H1 calendar 2026 vs. H1 calendar 2025 across its entire footprint. "Probably in the early innings" of data center activity. Data center construction spills over into utilities, warehousing, and community build-outs. Soil stabilization demand described as "very beneficial" and "very high demand."</w:t>
      </w:r>
    </w:p>
    <w:p>
      <w:pPr>
        <w:pStyle w:val="ListBullet"/>
        <w:ind w:left="360" w:hanging="360"/>
      </w:pPr>
      <w:r>
        <w:rPr>
          <w:rFonts w:ascii="Calibri" w:hAnsi="Calibri"/>
          <w:b/>
          <w:color w:val="525866"/>
          <w:sz w:val="22"/>
        </w:rPr>
        <w:t xml:space="preserve">Cost Headwinds: </w:t>
      </w:r>
      <w:r>
        <w:rPr>
          <w:rFonts w:ascii="Calibri" w:hAnsi="Calibri"/>
          <w:color w:val="525866"/>
          <w:sz w:val="22"/>
        </w:rPr>
        <w:t>Higher freight and raw material costs pressured heavy materials operating earnings (-11% YoY), partly due to a $6M one-time equipment failure at Mountain Cement. Diesel also a factor in quarry operations.</w:t>
      </w:r>
    </w:p>
    <w:p>
      <w:pPr>
        <w:pStyle w:val="ListBullet"/>
        <w:ind w:left="360" w:hanging="360"/>
      </w:pPr>
      <w:r>
        <w:rPr>
          <w:rFonts w:ascii="Calibri" w:hAnsi="Calibri"/>
          <w:b/>
          <w:color w:val="525866"/>
          <w:sz w:val="22"/>
        </w:rPr>
        <w:t xml:space="preserve">MLM Read-Through: </w:t>
      </w:r>
      <w:r>
        <w:rPr>
          <w:rFonts w:ascii="Calibri" w:hAnsi="Calibri"/>
          <w:color w:val="525866"/>
          <w:sz w:val="22"/>
        </w:rPr>
        <w:t>EXP's same-period results confirm healthy aggregates demand in the April–June quarter, with volume growth driven by the same infrastructure and data center tailwinds MLM has cited. The cost headwind from freight/diesel is consistent with MLM's $20–25M Q2 diesel estimate. The data center doubling of bid activity is particularly relevant given MLM's specific commentary about data center tonnage and LNG project pipeline.</w:t>
      </w:r>
    </w:p>
    <w:p>
      <w:pPr>
        <w:pStyle w:val="Heading3"/>
      </w:pPr>
      <w:r>
        <w:rPr>
          <w:rFonts w:ascii="Calibri" w:hAnsi="Calibri"/>
          <w:b/>
          <w:color w:val="3B4259"/>
          <w:sz w:val="24"/>
        </w:rPr>
        <w:t>EXP (Eagle Materials) — Q4 FY2026 Earnings (Quarter Ended March 31, 2026; Reported May 19, 2026)</w:t>
      </w:r>
    </w:p>
    <w:p>
      <w:r>
        <w:rPr>
          <w:rFonts w:ascii="Calibri" w:hAnsi="Calibri"/>
          <w:color w:val="525866"/>
          <w:sz w:val="22"/>
        </w:rPr>
        <w:t>Eagle's Q4 FY2026 earnings call (May 19) contained forward-looking commentary about the April–June 2026 construction season that is directly relevant as a read-through for MLM's Q2 2026 setup.</w:t>
      </w:r>
    </w:p>
    <w:p>
      <w:pPr>
        <w:pStyle w:val="ListBullet"/>
        <w:ind w:left="360" w:hanging="360"/>
      </w:pPr>
      <w:r>
        <w:rPr>
          <w:rFonts w:ascii="Calibri" w:hAnsi="Calibri"/>
          <w:b/>
          <w:color w:val="525866"/>
          <w:sz w:val="22"/>
        </w:rPr>
        <w:t xml:space="preserve">Construction Season Start: </w:t>
      </w:r>
      <w:r>
        <w:rPr>
          <w:rFonts w:ascii="Calibri" w:hAnsi="Calibri"/>
          <w:color w:val="525866"/>
          <w:sz w:val="22"/>
        </w:rPr>
        <w:t>"Construction season has started well in April and carrying into May, shaping up for a good year in fiscal 2027." Volumes in cement and aggregates described as "inflecting positively currently."</w:t>
      </w:r>
    </w:p>
    <w:p>
      <w:pPr>
        <w:pStyle w:val="ListBullet"/>
        <w:ind w:left="360" w:hanging="360"/>
      </w:pPr>
      <w:r>
        <w:rPr>
          <w:rFonts w:ascii="Calibri" w:hAnsi="Calibri"/>
          <w:b/>
          <w:color w:val="525866"/>
          <w:sz w:val="22"/>
        </w:rPr>
        <w:t xml:space="preserve">Data Center Demand: </w:t>
      </w:r>
      <w:r>
        <w:rPr>
          <w:rFonts w:ascii="Calibri" w:hAnsi="Calibri"/>
          <w:color w:val="525866"/>
          <w:sz w:val="22"/>
        </w:rPr>
        <w:t>Described as "very meaningful" and "a large contributor to the improvement" — "just in the beginning in many of our markets." More soil stabilization and related activities expected as data center development continues.</w:t>
      </w:r>
    </w:p>
    <w:p>
      <w:pPr>
        <w:pStyle w:val="ListBullet"/>
        <w:ind w:left="360" w:hanging="360"/>
      </w:pPr>
      <w:r>
        <w:rPr>
          <w:rFonts w:ascii="Calibri" w:hAnsi="Calibri"/>
          <w:b/>
          <w:color w:val="525866"/>
          <w:sz w:val="22"/>
        </w:rPr>
        <w:t xml:space="preserve">Volume Outlook: </w:t>
      </w:r>
      <w:r>
        <w:rPr>
          <w:rFonts w:ascii="Calibri" w:hAnsi="Calibri"/>
          <w:color w:val="525866"/>
          <w:sz w:val="22"/>
        </w:rPr>
        <w:t>Heavy materials volume outlook "favorable across entire footprint" given IIJA, state budgets, and data center projects. Organic aggregate sales volume +24% YoY in FY2026 (full year), with record 6.6M tons.</w:t>
      </w:r>
    </w:p>
    <w:p>
      <w:pPr>
        <w:pStyle w:val="ListBullet"/>
        <w:ind w:left="360" w:hanging="360"/>
      </w:pPr>
      <w:r>
        <w:rPr>
          <w:rFonts w:ascii="Calibri" w:hAnsi="Calibri"/>
          <w:b/>
          <w:color w:val="525866"/>
          <w:sz w:val="22"/>
        </w:rPr>
        <w:t xml:space="preserve">Structural Tailwinds: </w:t>
      </w:r>
      <w:r>
        <w:rPr>
          <w:rFonts w:ascii="Calibri" w:hAnsi="Calibri"/>
          <w:color w:val="525866"/>
          <w:sz w:val="22"/>
        </w:rPr>
        <w:t>"No scalable or viable substitutes for our products and supply constraints across cement, wallboard and aggregates will constrain capacity additions in each industry over the medium to long run." Bullish on structural tailwinds for many cycles.</w:t>
      </w:r>
    </w:p>
    <w:p>
      <w:pPr>
        <w:pStyle w:val="ListBullet"/>
        <w:ind w:left="360" w:hanging="360"/>
      </w:pPr>
      <w:r>
        <w:rPr>
          <w:rFonts w:ascii="Calibri" w:hAnsi="Calibri"/>
          <w:b/>
          <w:color w:val="525866"/>
          <w:sz w:val="22"/>
        </w:rPr>
        <w:t xml:space="preserve">MLM Read-Through: </w:t>
      </w:r>
      <w:r>
        <w:rPr>
          <w:rFonts w:ascii="Calibri" w:hAnsi="Calibri"/>
          <w:color w:val="525866"/>
          <w:sz w:val="22"/>
        </w:rPr>
        <w:t>EXP's early-season commentary from May confirmed the construction season was tracking well — consistent with MLM's own April shipment commentary on the Q1 call. The structural supply constraint narrative reinforces MLM's pricing power thesis.</w:t>
      </w:r>
    </w:p>
    <w:p>
      <w:pPr>
        <w:pStyle w:val="Heading3"/>
      </w:pPr>
      <w:r>
        <w:rPr>
          <w:rFonts w:ascii="Calibri" w:hAnsi="Calibri"/>
          <w:b/>
          <w:color w:val="3B4259"/>
          <w:sz w:val="24"/>
        </w:rPr>
        <w:t>Overall Read-Through Synthesis</w:t>
      </w:r>
    </w:p>
    <w:p>
      <w:r>
        <w:rPr>
          <w:rFonts w:ascii="Calibri" w:hAnsi="Calibri"/>
          <w:color w:val="525866"/>
          <w:sz w:val="22"/>
        </w:rPr>
        <w:t xml:space="preserve">The peer commentary from VMC and EXP — both reporting Q2 2026 / same-calendar-period results today — collectively deliver a </w:t>
      </w:r>
    </w:p>
    <w:p>
      <w:pPr>
        <w:pStyle w:val="ListBullet"/>
        <w:ind w:left="360" w:hanging="360"/>
      </w:pPr>
      <w:r>
        <w:rPr>
          <w:rFonts w:ascii="Calibri" w:hAnsi="Calibri"/>
          <w:b/>
          <w:color w:val="525866"/>
          <w:sz w:val="22"/>
        </w:rPr>
        <w:t xml:space="preserve">Demand is healthy and broad-based: </w:t>
      </w:r>
      <w:r>
        <w:rPr>
          <w:rFonts w:ascii="Calibri" w:hAnsi="Calibri"/>
          <w:color w:val="525866"/>
          <w:sz w:val="22"/>
        </w:rPr>
        <w:t>Public infrastructure (IIJA + state DOTs) remains the anchor, with highway awards up double digits in VMC markets and state budgets at elevated levels. Data center construction is accelerating meaningfully, with EXP doubling its data center bid activity YoY — directly corroborating MLM's specific data center tonnage commentary.</w:t>
      </w:r>
    </w:p>
    <w:p>
      <w:pPr>
        <w:pStyle w:val="ListBullet"/>
        <w:ind w:left="360" w:hanging="360"/>
      </w:pPr>
      <w:r>
        <w:rPr>
          <w:rFonts w:ascii="Calibri" w:hAnsi="Calibri"/>
          <w:b/>
          <w:color w:val="525866"/>
          <w:sz w:val="22"/>
        </w:rPr>
        <w:t xml:space="preserve">Mid-year pricing is executing: </w:t>
      </w:r>
      <w:r>
        <w:rPr>
          <w:rFonts w:ascii="Calibri" w:hAnsi="Calibri"/>
          <w:color w:val="525866"/>
          <w:sz w:val="22"/>
        </w:rPr>
        <w:t>VMC's confirmation that mid-year increases went as expected with sequential improvement ~2x better than last year is the single most important read-through for MLM. If MLM achieves similar execution, the $23.62/ton consensus ASP estimate likely understates Q2 actuals.</w:t>
      </w:r>
    </w:p>
    <w:p>
      <w:pPr>
        <w:pStyle w:val="ListBullet"/>
        <w:ind w:left="360" w:hanging="360"/>
      </w:pPr>
      <w:r>
        <w:rPr>
          <w:rFonts w:ascii="Calibri" w:hAnsi="Calibri"/>
          <w:b/>
          <w:color w:val="525866"/>
          <w:sz w:val="22"/>
        </w:rPr>
        <w:t xml:space="preserve">Diesel is a real but manageable headwind: </w:t>
      </w:r>
      <w:r>
        <w:rPr>
          <w:rFonts w:ascii="Calibri" w:hAnsi="Calibri"/>
          <w:color w:val="525866"/>
          <w:sz w:val="22"/>
        </w:rPr>
        <w:t>VMC absorbed ~$40M of energy headwind in Q2 and still delivered EBITDA approximately flat YoY. MLM's $20–25M Q2 diesel estimate is proportionally consistent. Both companies are using pricing as the primary offset.</w:t>
      </w:r>
    </w:p>
    <w:p>
      <w:pPr>
        <w:pStyle w:val="ListBullet"/>
        <w:ind w:left="360" w:hanging="360"/>
      </w:pPr>
      <w:r>
        <w:rPr>
          <w:rFonts w:ascii="Calibri" w:hAnsi="Calibri"/>
          <w:b/>
          <w:color w:val="525866"/>
          <w:sz w:val="22"/>
        </w:rPr>
        <w:t xml:space="preserve">Residential remains weak; non-res and infrastructure carry the load: </w:t>
      </w:r>
      <w:r>
        <w:rPr>
          <w:rFonts w:ascii="Calibri" w:hAnsi="Calibri"/>
          <w:color w:val="525866"/>
          <w:sz w:val="22"/>
        </w:rPr>
        <w:t>Consistent across both peers. Warehousing flat (VMC) but data centers, power infrastructure, and LNG projects are filling the gap.</w:t>
      </w:r>
    </w:p>
    <w:p>
      <w:pPr>
        <w:pStyle w:val="ListBullet"/>
        <w:ind w:left="360" w:hanging="360"/>
      </w:pPr>
      <w:r>
        <w:rPr>
          <w:rFonts w:ascii="Calibri" w:hAnsi="Calibri"/>
          <w:b/>
          <w:color w:val="525866"/>
          <w:sz w:val="22"/>
        </w:rPr>
        <w:t xml:space="preserve">H2 setup is improving: </w:t>
      </w:r>
      <w:r>
        <w:rPr>
          <w:rFonts w:ascii="Calibri" w:hAnsi="Calibri"/>
          <w:color w:val="525866"/>
          <w:sz w:val="22"/>
        </w:rPr>
        <w:t>VMC expects cost inflation to be better in H2 and pricing to exit at the upper end of the range. This is consistent with MLM's own guidance for a stronger H2 and management's optimism about the mid-year guidance reassessment.</w:t>
      </w:r>
    </w:p>
    <w:p>
      <w:r>
        <w:rPr>
          <w:rFonts w:ascii="Calibri" w:hAnsi="Calibri"/>
          <w:b/>
          <w:color w:val="525866"/>
          <w:sz w:val="22"/>
        </w:rPr>
        <w:t xml:space="preserve">Bottom line: </w:t>
      </w:r>
      <w:r>
        <w:rPr>
          <w:rFonts w:ascii="Calibri" w:hAnsi="Calibri"/>
          <w:color w:val="525866"/>
          <w:sz w:val="22"/>
        </w:rPr>
        <w:t>The peer read-through is net positive for MLM's Q2 2026 print. The demand environment is intact, mid-year pricing is executing, and the cost headwind is manageable. The primary risk remains the Lhoist deal overhang on sentiment, not the underlying operating fundamentals.</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Lhoist North America acquisition ($13.5B, announced June 29) is the most consequential development since Q1 earnings — transformational for the Specialties platform but introducing near-term leverage and dilution concerns that have weighed on the stock. The underlying operating story (New Frontier close, mid-year pricing, strong construction season) remains intact.</w:t>
      </w:r>
    </w:p>
    <w:p>
      <w:pPr>
        <w:pStyle w:val="ListBullet"/>
        <w:ind w:left="360" w:hanging="360"/>
      </w:pPr>
      <w:r>
        <w:rPr>
          <w:rFonts w:ascii="Calibri" w:hAnsi="Calibri"/>
          <w:b/>
          <w:color w:val="525866"/>
          <w:sz w:val="22"/>
        </w:rPr>
        <w:t xml:space="preserve">June 29, 2026 — Lhoist North America Acquisition Announced ($13.5B): </w:t>
      </w:r>
      <w:r>
        <w:rPr>
          <w:rFonts w:ascii="Calibri" w:hAnsi="Calibri"/>
          <w:color w:val="525866"/>
          <w:sz w:val="22"/>
        </w:rPr>
        <w:t xml:space="preserve">MLM announced a definitive agreement to acquire Lhoist North America (LNA) for $13.5B ($7B cash + $6.5B stock). LNA is the leading U.S. producer of hi-calcium lime, dolomitic lime, and industrial mineral products, with $1.8B gross sales and $786M Adj. EBITDA (LTM Dec 2025). Deal valued at ~15x EBITDA including run-rate synergies. Upon close, Berghmans family will own ~15% of MLM. Expected to close H2 2026 pending regulatory approval. Combined net leverage ~3.7x at close, targeting &lt;2.5x within 24 months. ~$85M run-rate cost synergies. Accretive to earnings and margins in first full year. </w:t>
      </w:r>
    </w:p>
    <w:p>
      <w:pPr>
        <w:pStyle w:val="ListBullet"/>
        <w:ind w:left="360" w:hanging="360"/>
      </w:pPr>
      <w:r>
        <w:rPr>
          <w:rFonts w:ascii="Calibri" w:hAnsi="Calibri"/>
          <w:i/>
          <w:color w:val="525866"/>
          <w:sz w:val="22"/>
        </w:rPr>
        <w:t xml:space="preserve">Implication: </w:t>
      </w:r>
      <w:r>
        <w:rPr>
          <w:rFonts w:ascii="Calibri" w:hAnsi="Calibri"/>
          <w:i/>
          <w:color w:val="525866"/>
          <w:sz w:val="22"/>
        </w:rPr>
        <w:t>Transformational for the Specialties platform; directly advances SOAR 2030 objective. Near-term stock overhang from leverage and dilution (~15% share issuance). Q2 earnings call will be the first opportunity for management to address investor concerns in detail.</w:t>
      </w:r>
    </w:p>
    <w:p>
      <w:pPr>
        <w:pStyle w:val="ListBullet"/>
        <w:ind w:left="360" w:hanging="360"/>
      </w:pPr>
      <w:r>
        <w:rPr>
          <w:rFonts w:ascii="Calibri" w:hAnsi="Calibri"/>
          <w:b/>
          <w:color w:val="525866"/>
          <w:sz w:val="22"/>
        </w:rPr>
        <w:t xml:space="preserve">July 15, 2026 — $1.5B Term Loan Secured for Lhoist Acquisition: </w:t>
      </w:r>
      <w:r>
        <w:rPr>
          <w:rFonts w:ascii="Calibri" w:hAnsi="Calibri"/>
          <w:color w:val="525866"/>
          <w:sz w:val="22"/>
        </w:rPr>
        <w:t xml:space="preserve">MLM entered into a $1.5B three-year senior unsecured term loan facility (JPMCB as agent) to fund a portion of the Lhoist cash consideration. Separately, amended the existing $800M revolving credit facility to modify leverage ratio covenants (max 4.75x for first 3 quarters post-close, stepping down to 3.75x thereafter). </w:t>
      </w:r>
    </w:p>
    <w:p>
      <w:pPr>
        <w:pStyle w:val="ListBullet"/>
        <w:ind w:left="360" w:hanging="360"/>
      </w:pPr>
      <w:r>
        <w:rPr>
          <w:rFonts w:ascii="Calibri" w:hAnsi="Calibri"/>
          <w:i/>
          <w:color w:val="525866"/>
          <w:sz w:val="22"/>
        </w:rPr>
        <w:t xml:space="preserve">Implication: </w:t>
      </w:r>
      <w:r>
        <w:rPr>
          <w:rFonts w:ascii="Calibri" w:hAnsi="Calibri"/>
          <w:i/>
          <w:color w:val="525866"/>
          <w:sz w:val="22"/>
        </w:rPr>
        <w:t>Financing is in place; covenant structure provides adequate headroom. Commitment fee begins October 25, 2026.</w:t>
      </w:r>
    </w:p>
    <w:p>
      <w:pPr>
        <w:pStyle w:val="ListBullet"/>
        <w:ind w:left="360" w:hanging="360"/>
      </w:pPr>
      <w:r>
        <w:rPr>
          <w:rFonts w:ascii="Calibri" w:hAnsi="Calibri"/>
          <w:b/>
          <w:color w:val="525866"/>
          <w:sz w:val="22"/>
        </w:rPr>
        <w:t xml:space="preserve">May 15, 2026 — New Frontier Materials Acquisition Closed: </w:t>
      </w:r>
      <w:r>
        <w:rPr>
          <w:rFonts w:ascii="Calibri" w:hAnsi="Calibri"/>
          <w:color w:val="525866"/>
          <w:sz w:val="22"/>
        </w:rPr>
        <w:t xml:space="preserve">MLM completed the acquisition of New Frontier Materials, a bolt-on to the Central Division producing ~8.5M tons of aggregates and ~1.5M tons of asphalt annually along the I-70 corridor (Kansas City to St. Louis). Closed ahead of original H2 2026 expectation. </w:t>
      </w:r>
    </w:p>
    <w:p>
      <w:pPr>
        <w:pStyle w:val="ListBullet"/>
        <w:ind w:left="360" w:hanging="360"/>
      </w:pPr>
      <w:r>
        <w:rPr>
          <w:rFonts w:ascii="Calibri" w:hAnsi="Calibri"/>
          <w:i/>
          <w:color w:val="525866"/>
          <w:sz w:val="22"/>
        </w:rPr>
        <w:t xml:space="preserve">Implication: </w:t>
      </w:r>
      <w:r>
        <w:rPr>
          <w:rFonts w:ascii="Calibri" w:hAnsi="Calibri"/>
          <w:i/>
          <w:color w:val="525866"/>
          <w:sz w:val="22"/>
        </w:rPr>
        <w:t>First bolt-on under SOAR 2030. Contributions not yet in 2026 guidance — upside lever for mid-year guidance raise. Q2 will include ~1.5 months of New Frontier contribution.</w:t>
      </w:r>
    </w:p>
    <w:p>
      <w:pPr>
        <w:pStyle w:val="ListBullet"/>
        <w:ind w:left="360" w:hanging="360"/>
      </w:pPr>
      <w:r>
        <w:rPr>
          <w:rFonts w:ascii="Calibri" w:hAnsi="Calibri"/>
          <w:b/>
          <w:color w:val="525866"/>
          <w:sz w:val="22"/>
        </w:rPr>
        <w:t xml:space="preserve">May 14, 2026 — Shareholders Approve New Stock Plan and Executive Compensation: </w:t>
      </w:r>
      <w:r>
        <w:rPr>
          <w:rFonts w:ascii="Calibri" w:hAnsi="Calibri"/>
          <w:color w:val="525866"/>
          <w:sz w:val="22"/>
        </w:rPr>
        <w:t xml:space="preserve">MLM shareholders voted to approve a new equity compensation plan and executive pay packages at the annual meeting. </w:t>
      </w:r>
    </w:p>
    <w:p>
      <w:pPr>
        <w:pStyle w:val="ListBullet"/>
        <w:ind w:left="360" w:hanging="360"/>
      </w:pPr>
      <w:r>
        <w:rPr>
          <w:rFonts w:ascii="Calibri" w:hAnsi="Calibri"/>
          <w:i/>
          <w:color w:val="525866"/>
          <w:sz w:val="22"/>
        </w:rPr>
        <w:t xml:space="preserve">Implication: </w:t>
      </w:r>
      <w:r>
        <w:rPr>
          <w:rFonts w:ascii="Calibri" w:hAnsi="Calibri"/>
          <w:i/>
          <w:color w:val="525866"/>
          <w:sz w:val="22"/>
        </w:rPr>
        <w:t>Routine governance; no material impact on near-term financials.</w:t>
      </w:r>
    </w:p>
    <w:p>
      <w:pPr>
        <w:pStyle w:val="ListBullet"/>
        <w:ind w:left="360" w:hanging="360"/>
      </w:pPr>
      <w:r>
        <w:rPr>
          <w:rFonts w:ascii="Calibri" w:hAnsi="Calibri"/>
          <w:b/>
          <w:color w:val="525866"/>
          <w:sz w:val="22"/>
        </w:rPr>
        <w:t xml:space="preserve">May 1, 2026 — Christopher Samborski Appointed COO: </w:t>
      </w:r>
      <w:r>
        <w:rPr>
          <w:rFonts w:ascii="Calibri" w:hAnsi="Calibri"/>
          <w:color w:val="525866"/>
          <w:sz w:val="22"/>
        </w:rPr>
        <w:t xml:space="preserve">Chris Samborski elevated to COO effective May 1, 2026, with all division presidents and key operational function heads reporting directly to him. Announced April 27 via 8-K. </w:t>
      </w:r>
    </w:p>
    <w:p>
      <w:pPr>
        <w:pStyle w:val="ListBullet"/>
        <w:ind w:left="360" w:hanging="360"/>
      </w:pPr>
      <w:r>
        <w:rPr>
          <w:rFonts w:ascii="Calibri" w:hAnsi="Calibri"/>
          <w:i/>
          <w:color w:val="525866"/>
          <w:sz w:val="22"/>
        </w:rPr>
        <w:t xml:space="preserve">Implication: </w:t>
      </w:r>
      <w:r>
        <w:rPr>
          <w:rFonts w:ascii="Calibri" w:hAnsi="Calibri"/>
          <w:i/>
          <w:color w:val="525866"/>
          <w:sz w:val="22"/>
        </w:rPr>
        <w:t>Reflects depth of bench and commitment to consistent execution under SOAR 2030. Positive signal for operational continuity.</w:t>
      </w:r>
    </w:p>
    <w:p>
      <w:pPr>
        <w:pStyle w:val="ListBullet"/>
        <w:ind w:left="360" w:hanging="360"/>
      </w:pPr>
      <w:r>
        <w:rPr>
          <w:rFonts w:ascii="Calibri" w:hAnsi="Calibri"/>
          <w:b/>
          <w:color w:val="525866"/>
          <w:sz w:val="22"/>
        </w:rPr>
        <w:t xml:space="preserve">April 30, 2026 — Q1 2026 Earnings (Last Print): </w:t>
      </w:r>
      <w:r>
        <w:rPr>
          <w:rFonts w:ascii="Calibri" w:hAnsi="Calibri"/>
          <w:color w:val="525866"/>
          <w:sz w:val="22"/>
        </w:rPr>
        <w:t xml:space="preserve">Record Q1 revenues ($1.4B, +17% YoY), record Q1 aggregates shipments (43.9M tons, +12%), Adj. EBITDA +14% YoY. Organic volume +7.2% vs. guidance. Quikrete integration ahead of plan ($17M EBITDA, 42% margin in first month). Full-year 2026 Adj. EBITDA guidance reaffirmed at $2.43B midpoint. SOAR 2030 strategic plan launched. </w:t>
      </w:r>
    </w:p>
    <w:p>
      <w:pPr>
        <w:pStyle w:val="ListBullet"/>
        <w:ind w:left="360" w:hanging="360"/>
      </w:pPr>
      <w:r>
        <w:rPr>
          <w:rFonts w:ascii="Calibri" w:hAnsi="Calibri"/>
          <w:i/>
          <w:color w:val="525866"/>
          <w:sz w:val="22"/>
        </w:rPr>
        <w:t xml:space="preserve">Implication: </w:t>
      </w:r>
      <w:r>
        <w:rPr>
          <w:rFonts w:ascii="Calibri" w:hAnsi="Calibri"/>
          <w:i/>
          <w:color w:val="525866"/>
          <w:sz w:val="22"/>
        </w:rPr>
        <w:t>Strong operational quarter; set a high bar for Q2 organic execution. Management's optimism about mid-year guidance reassessment is the key forward signal.</w:t>
      </w:r>
    </w:p>
    <w:p>
      <w:pPr>
        <w:pStyle w:val="ListBullet"/>
        <w:ind w:left="360" w:hanging="360"/>
      </w:pPr>
      <w:r>
        <w:rPr>
          <w:rFonts w:ascii="Calibri" w:hAnsi="Calibri"/>
          <w:b/>
          <w:color w:val="525866"/>
          <w:sz w:val="22"/>
        </w:rPr>
        <w:t xml:space="preserve">VMC Q2 2026 Results (July 29, 2026 — Peer Read-Through): </w:t>
      </w:r>
      <w:r>
        <w:rPr>
          <w:rFonts w:ascii="Calibri" w:hAnsi="Calibri"/>
          <w:color w:val="525866"/>
          <w:sz w:val="22"/>
        </w:rPr>
        <w:t xml:space="preserve">VMC reported Q2 2026 today with aggregates ASP +5% YoY, mid-year price increases 2x better sequentially than last year, and full-year EBITDA guidance reiterated at $2.4B–$2.6B. </w:t>
      </w:r>
    </w:p>
    <w:p>
      <w:pPr>
        <w:pStyle w:val="ListBullet"/>
        <w:ind w:left="360" w:hanging="360"/>
      </w:pPr>
      <w:r>
        <w:rPr>
          <w:rFonts w:ascii="Calibri" w:hAnsi="Calibri"/>
          <w:i/>
          <w:color w:val="525866"/>
          <w:sz w:val="22"/>
        </w:rPr>
        <w:t xml:space="preserve">Implication: </w:t>
      </w:r>
      <w:r>
        <w:rPr>
          <w:rFonts w:ascii="Calibri" w:hAnsi="Calibri"/>
          <w:i/>
          <w:color w:val="525866"/>
          <w:sz w:val="22"/>
        </w:rPr>
        <w:t>Strongest positive read-through for MLM's Q2 pricing line. Confirms the demand and pricing environment MLM described on its Q1 call is intact.</w:t>
      </w:r>
    </w:p>
    <w:p>
      <w:r>
        <w:br w:type="page"/>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No open-market buys or sells by executives or directors in the post-Q1 window — all transactions are equity award grants (Form 4 code "A"), which are routine compensation events and carry no directional signal. The absence of discretionary selling ahead of the Lhoist announcement is mildly notable.</w:t>
      </w:r>
    </w:p>
    <w:p>
      <w:r>
        <w:rPr>
          <w:rFonts w:ascii="Calibri" w:hAnsi="Calibri"/>
          <w:i/>
          <w:color w:val="525866"/>
          <w:sz w:val="22"/>
        </w:rPr>
        <w:t xml:space="preserve">Note: All transactions below are equity award grants (Form 4 transaction code "A" — Award/Grant), not open-market purchases or sales. These are routine compensation events (restricted stock grants, performance awards) and do not represent discretionary buying or selling. There are </w:t>
      </w:r>
      <w:r>
        <w:rPr>
          <w:rFonts w:ascii="Calibri" w:hAnsi="Calibri"/>
          <w:b/>
          <w:i/>
          <w:color w:val="525866"/>
          <w:sz w:val="22"/>
        </w:rPr>
        <w:t>no open-market buys (code P) or open-market sells (code S)</w:t>
      </w:r>
      <w:r>
        <w:rPr>
          <w:rFonts w:ascii="Calibri" w:hAnsi="Calibri"/>
          <w:i/>
          <w:color w:val="525866"/>
          <w:sz w:val="22"/>
        </w:rPr>
        <w:t xml:space="preserve"> in the post-Q1 2026 window. Source: SEC Form 4 filings.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Transaction 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Christopher W. Samborski</w:t>
            </w:r>
          </w:p>
        </w:tc>
        <w:tc>
          <w:tcPr>
            <w:tcW w:type="dxa" w:w="1440"/>
          </w:tcPr>
          <w:p>
            <w:r>
              <w:rPr>
                <w:rFonts w:ascii="Calibri" w:hAnsi="Calibri"/>
                <w:sz w:val="22"/>
              </w:rPr>
              <w:t>EVP, COO</w:t>
            </w:r>
          </w:p>
        </w:tc>
        <w:tc>
          <w:tcPr>
            <w:tcW w:type="dxa" w:w="1440"/>
          </w:tcPr>
          <w:p>
            <w:r>
              <w:rPr>
                <w:rFonts w:ascii="Calibri" w:hAnsi="Calibri"/>
                <w:sz w:val="22"/>
              </w:rPr>
              <w:t>Equity Award Grant</w:t>
            </w:r>
          </w:p>
        </w:tc>
        <w:tc>
          <w:tcPr>
            <w:tcW w:type="dxa" w:w="1440"/>
          </w:tcPr>
          <w:p>
            <w:r>
              <w:rPr>
                <w:rFonts w:ascii="Calibri" w:hAnsi="Calibri"/>
                <w:sz w:val="22"/>
              </w:rPr>
              <w:t>8,101</w:t>
            </w:r>
          </w:p>
        </w:tc>
        <w:tc>
          <w:tcPr>
            <w:tcW w:type="dxa" w:w="1440"/>
          </w:tcPr>
          <w:p>
            <w:r>
              <w:rPr>
                <w:rFonts w:ascii="Calibri" w:hAnsi="Calibri"/>
                <w:sz w:val="22"/>
              </w:rPr>
              <w:t>May 1, 2026</w:t>
            </w:r>
          </w:p>
        </w:tc>
        <w:tc>
          <w:tcPr>
            <w:tcW w:type="dxa" w:w="1440"/>
          </w:tcPr>
          <w:p>
            <w:r>
              <w:rPr>
                <w:rFonts w:ascii="Calibri" w:hAnsi="Calibri"/>
                <w:sz w:val="22"/>
              </w:rPr>
              <w:t>Routine grant coinciding with COO appointment effective May 1, 2026. Not a discretionary buy.</w:t>
            </w:r>
          </w:p>
        </w:tc>
      </w:tr>
      <w:tr>
        <w:tc>
          <w:tcPr>
            <w:tcW w:type="dxa" w:w="1440"/>
          </w:tcPr>
          <w:p>
            <w:r>
              <w:rPr>
                <w:rFonts w:ascii="Calibri" w:hAnsi="Calibri"/>
                <w:sz w:val="22"/>
              </w:rPr>
              <w:t>Dorothy M. Ables</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313</w:t>
            </w:r>
          </w:p>
        </w:tc>
        <w:tc>
          <w:tcPr>
            <w:tcW w:type="dxa" w:w="1440"/>
          </w:tcPr>
          <w:p>
            <w:r>
              <w:rPr>
                <w:rFonts w:ascii="Calibri" w:hAnsi="Calibri"/>
                <w:sz w:val="22"/>
              </w:rPr>
              <w:t>May 14, 2026</w:t>
            </w:r>
          </w:p>
        </w:tc>
        <w:tc>
          <w:tcPr>
            <w:tcW w:type="dxa" w:w="1440"/>
          </w:tcPr>
          <w:p>
            <w:r>
              <w:rPr>
                <w:rFonts w:ascii="Calibri" w:hAnsi="Calibri"/>
                <w:sz w:val="22"/>
              </w:rPr>
              <w:t>Annual director equity grant following shareholder meeting (May 14, 2026).</w:t>
            </w:r>
          </w:p>
        </w:tc>
      </w:tr>
      <w:tr>
        <w:tc>
          <w:tcPr>
            <w:tcW w:type="dxa" w:w="1440"/>
          </w:tcPr>
          <w:p>
            <w:r>
              <w:rPr>
                <w:rFonts w:ascii="Calibri" w:hAnsi="Calibri"/>
                <w:sz w:val="22"/>
              </w:rPr>
              <w:t>Gayla J. Delly</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313</w:t>
            </w:r>
          </w:p>
        </w:tc>
        <w:tc>
          <w:tcPr>
            <w:tcW w:type="dxa" w:w="1440"/>
          </w:tcPr>
          <w:p>
            <w:r>
              <w:rPr>
                <w:rFonts w:ascii="Calibri" w:hAnsi="Calibri"/>
                <w:sz w:val="22"/>
              </w:rPr>
              <w:t>May 14, 2026</w:t>
            </w:r>
          </w:p>
        </w:tc>
        <w:tc>
          <w:tcPr>
            <w:tcW w:type="dxa" w:w="1440"/>
          </w:tcPr>
          <w:p>
            <w:r>
              <w:rPr>
                <w:rFonts w:ascii="Calibri" w:hAnsi="Calibri"/>
                <w:sz w:val="22"/>
              </w:rPr>
              <w:t>Annual director equity grant.</w:t>
            </w:r>
          </w:p>
        </w:tc>
      </w:tr>
      <w:tr>
        <w:tc>
          <w:tcPr>
            <w:tcW w:type="dxa" w:w="1440"/>
          </w:tcPr>
          <w:p>
            <w:r>
              <w:rPr>
                <w:rFonts w:ascii="Calibri" w:hAnsi="Calibri"/>
                <w:sz w:val="22"/>
              </w:rPr>
              <w:t>Anthony R. Foxx</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313</w:t>
            </w:r>
          </w:p>
        </w:tc>
        <w:tc>
          <w:tcPr>
            <w:tcW w:type="dxa" w:w="1440"/>
          </w:tcPr>
          <w:p>
            <w:r>
              <w:rPr>
                <w:rFonts w:ascii="Calibri" w:hAnsi="Calibri"/>
                <w:sz w:val="22"/>
              </w:rPr>
              <w:t>May 14, 2026</w:t>
            </w:r>
          </w:p>
        </w:tc>
        <w:tc>
          <w:tcPr>
            <w:tcW w:type="dxa" w:w="1440"/>
          </w:tcPr>
          <w:p>
            <w:r>
              <w:rPr>
                <w:rFonts w:ascii="Calibri" w:hAnsi="Calibri"/>
                <w:sz w:val="22"/>
              </w:rPr>
              <w:t>Annual director equity grant.</w:t>
            </w:r>
          </w:p>
        </w:tc>
      </w:tr>
      <w:tr>
        <w:tc>
          <w:tcPr>
            <w:tcW w:type="dxa" w:w="1440"/>
          </w:tcPr>
          <w:p>
            <w:r>
              <w:rPr>
                <w:rFonts w:ascii="Calibri" w:hAnsi="Calibri"/>
                <w:sz w:val="22"/>
              </w:rPr>
              <w:t>Martin J. Lyons</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313 + 61</w:t>
            </w:r>
          </w:p>
        </w:tc>
        <w:tc>
          <w:tcPr>
            <w:tcW w:type="dxa" w:w="1440"/>
          </w:tcPr>
          <w:p>
            <w:r>
              <w:rPr>
                <w:rFonts w:ascii="Calibri" w:hAnsi="Calibri"/>
                <w:sz w:val="22"/>
              </w:rPr>
              <w:t>May 14 &amp; May 29, 2026</w:t>
            </w:r>
          </w:p>
        </w:tc>
        <w:tc>
          <w:tcPr>
            <w:tcW w:type="dxa" w:w="1440"/>
          </w:tcPr>
          <w:p>
            <w:r>
              <w:rPr>
                <w:rFonts w:ascii="Calibri" w:hAnsi="Calibri"/>
                <w:sz w:val="22"/>
              </w:rPr>
              <w:t>Annual director grant (May 14) + supplemental grant (May 29). Both routine.</w:t>
            </w:r>
          </w:p>
        </w:tc>
      </w:tr>
      <w:tr>
        <w:tc>
          <w:tcPr>
            <w:tcW w:type="dxa" w:w="1440"/>
          </w:tcPr>
          <w:p>
            <w:r>
              <w:rPr>
                <w:rFonts w:ascii="Calibri" w:hAnsi="Calibri"/>
                <w:sz w:val="22"/>
              </w:rPr>
              <w:t>Mary T. Mack</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313</w:t>
            </w:r>
          </w:p>
        </w:tc>
        <w:tc>
          <w:tcPr>
            <w:tcW w:type="dxa" w:w="1440"/>
          </w:tcPr>
          <w:p>
            <w:r>
              <w:rPr>
                <w:rFonts w:ascii="Calibri" w:hAnsi="Calibri"/>
                <w:sz w:val="22"/>
              </w:rPr>
              <w:t>May 14, 2026</w:t>
            </w:r>
          </w:p>
        </w:tc>
        <w:tc>
          <w:tcPr>
            <w:tcW w:type="dxa" w:w="1440"/>
          </w:tcPr>
          <w:p>
            <w:r>
              <w:rPr>
                <w:rFonts w:ascii="Calibri" w:hAnsi="Calibri"/>
                <w:sz w:val="22"/>
              </w:rPr>
              <w:t>Annual director equity grant.</w:t>
            </w:r>
          </w:p>
        </w:tc>
      </w:tr>
      <w:tr>
        <w:tc>
          <w:tcPr>
            <w:tcW w:type="dxa" w:w="1440"/>
          </w:tcPr>
          <w:p>
            <w:r>
              <w:rPr>
                <w:rFonts w:ascii="Calibri" w:hAnsi="Calibri"/>
                <w:sz w:val="22"/>
              </w:rPr>
              <w:t>LaRee E. Perez</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313</w:t>
            </w:r>
          </w:p>
        </w:tc>
        <w:tc>
          <w:tcPr>
            <w:tcW w:type="dxa" w:w="1440"/>
          </w:tcPr>
          <w:p>
            <w:r>
              <w:rPr>
                <w:rFonts w:ascii="Calibri" w:hAnsi="Calibri"/>
                <w:sz w:val="22"/>
              </w:rPr>
              <w:t>May 14, 2026</w:t>
            </w:r>
          </w:p>
        </w:tc>
        <w:tc>
          <w:tcPr>
            <w:tcW w:type="dxa" w:w="1440"/>
          </w:tcPr>
          <w:p>
            <w:r>
              <w:rPr>
                <w:rFonts w:ascii="Calibri" w:hAnsi="Calibri"/>
                <w:sz w:val="22"/>
              </w:rPr>
              <w:t>Annual director equity grant.</w:t>
            </w:r>
          </w:p>
        </w:tc>
      </w:tr>
      <w:tr>
        <w:tc>
          <w:tcPr>
            <w:tcW w:type="dxa" w:w="1440"/>
          </w:tcPr>
          <w:p>
            <w:r>
              <w:rPr>
                <w:rFonts w:ascii="Calibri" w:hAnsi="Calibri"/>
                <w:sz w:val="22"/>
              </w:rPr>
              <w:t>Thomas Pike</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313 + 59</w:t>
            </w:r>
          </w:p>
        </w:tc>
        <w:tc>
          <w:tcPr>
            <w:tcW w:type="dxa" w:w="1440"/>
          </w:tcPr>
          <w:p>
            <w:r>
              <w:rPr>
                <w:rFonts w:ascii="Calibri" w:hAnsi="Calibri"/>
                <w:sz w:val="22"/>
              </w:rPr>
              <w:t>May 14 &amp; May 29, 2026</w:t>
            </w:r>
          </w:p>
        </w:tc>
        <w:tc>
          <w:tcPr>
            <w:tcW w:type="dxa" w:w="1440"/>
          </w:tcPr>
          <w:p>
            <w:r>
              <w:rPr>
                <w:rFonts w:ascii="Calibri" w:hAnsi="Calibri"/>
                <w:sz w:val="22"/>
              </w:rPr>
              <w:t>Annual director grant (May 14) + supplemental grant (May 29). Both routine.</w:t>
            </w:r>
          </w:p>
        </w:tc>
      </w:tr>
      <w:tr>
        <w:tc>
          <w:tcPr>
            <w:tcW w:type="dxa" w:w="1440"/>
          </w:tcPr>
          <w:p>
            <w:r>
              <w:rPr>
                <w:rFonts w:ascii="Calibri" w:hAnsi="Calibri"/>
                <w:sz w:val="22"/>
              </w:rPr>
              <w:t>Donald W. Slager</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313</w:t>
            </w:r>
          </w:p>
        </w:tc>
        <w:tc>
          <w:tcPr>
            <w:tcW w:type="dxa" w:w="1440"/>
          </w:tcPr>
          <w:p>
            <w:r>
              <w:rPr>
                <w:rFonts w:ascii="Calibri" w:hAnsi="Calibri"/>
                <w:sz w:val="22"/>
              </w:rPr>
              <w:t>May 14, 2026</w:t>
            </w:r>
          </w:p>
        </w:tc>
        <w:tc>
          <w:tcPr>
            <w:tcW w:type="dxa" w:w="1440"/>
          </w:tcPr>
          <w:p>
            <w:r>
              <w:rPr>
                <w:rFonts w:ascii="Calibri" w:hAnsi="Calibri"/>
                <w:sz w:val="22"/>
              </w:rPr>
              <w:t>Annual director equity grant.</w:t>
            </w:r>
          </w:p>
        </w:tc>
      </w:tr>
      <w:tr>
        <w:tc>
          <w:tcPr>
            <w:tcW w:type="dxa" w:w="1440"/>
          </w:tcPr>
          <w:p>
            <w:r>
              <w:rPr>
                <w:rFonts w:ascii="Calibri" w:hAnsi="Calibri"/>
                <w:sz w:val="22"/>
              </w:rPr>
              <w:t>David C. Wajsgras</w:t>
            </w:r>
          </w:p>
        </w:tc>
        <w:tc>
          <w:tcPr>
            <w:tcW w:type="dxa" w:w="1440"/>
          </w:tcPr>
          <w:p>
            <w:r>
              <w:rPr>
                <w:rFonts w:ascii="Calibri" w:hAnsi="Calibri"/>
                <w:sz w:val="22"/>
              </w:rPr>
              <w:t>Director</w:t>
            </w:r>
          </w:p>
        </w:tc>
        <w:tc>
          <w:tcPr>
            <w:tcW w:type="dxa" w:w="1440"/>
          </w:tcPr>
          <w:p>
            <w:r>
              <w:rPr>
                <w:rFonts w:ascii="Calibri" w:hAnsi="Calibri"/>
                <w:sz w:val="22"/>
              </w:rPr>
              <w:t>Equity Award Grant</w:t>
            </w:r>
          </w:p>
        </w:tc>
        <w:tc>
          <w:tcPr>
            <w:tcW w:type="dxa" w:w="1440"/>
          </w:tcPr>
          <w:p>
            <w:r>
              <w:rPr>
                <w:rFonts w:ascii="Calibri" w:hAnsi="Calibri"/>
                <w:sz w:val="22"/>
              </w:rPr>
              <w:t>313 + 69</w:t>
            </w:r>
          </w:p>
        </w:tc>
        <w:tc>
          <w:tcPr>
            <w:tcW w:type="dxa" w:w="1440"/>
          </w:tcPr>
          <w:p>
            <w:r>
              <w:rPr>
                <w:rFonts w:ascii="Calibri" w:hAnsi="Calibri"/>
                <w:sz w:val="22"/>
              </w:rPr>
              <w:t>May 14 &amp; May 29, 2026</w:t>
            </w:r>
          </w:p>
        </w:tc>
        <w:tc>
          <w:tcPr>
            <w:tcW w:type="dxa" w:w="1440"/>
          </w:tcPr>
          <w:p>
            <w:r>
              <w:rPr>
                <w:rFonts w:ascii="Calibri" w:hAnsi="Calibri"/>
                <w:sz w:val="22"/>
              </w:rPr>
              <w:t>Annual director grant (May 14) + supplemental grant (May 29). Both routine.</w:t>
            </w:r>
          </w:p>
        </w:tc>
      </w:tr>
    </w:tbl>
    <w:p>
      <w:r>
        <w:rPr>
          <w:rFonts w:ascii="Calibri" w:hAnsi="Calibri"/>
          <w:b/>
          <w:color w:val="525866"/>
          <w:sz w:val="22"/>
        </w:rPr>
        <w:t xml:space="preserve">Conclusion: </w:t>
      </w:r>
      <w:r>
        <w:rPr>
          <w:rFonts w:ascii="Calibri" w:hAnsi="Calibri"/>
          <w:color w:val="525866"/>
          <w:sz w:val="22"/>
        </w:rPr>
        <w:t>No discretionary insider activity to flag. All transactions are routine equity compensation grants. The complete absence of open-market selling — including in the period between the Q1 earnings call (April 30) and the Lhoist announcement (June 29) when insiders would have had material non-public information — is consistent with standard blackout period compliance and does not provide a directional signal. Source: SEC Form 4 filings.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