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Martin Marietta Materials (MLM)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Martin Marietta Materials, Inc.</w:t>
            </w:r>
          </w:p>
        </w:tc>
      </w:tr>
      <w:tr>
        <w:tc>
          <w:tcPr>
            <w:tcW w:type="dxa" w:w="4320"/>
          </w:tcPr>
          <w:p>
            <w:r>
              <w:rPr>
                <w:rFonts w:ascii="Calibri" w:hAnsi="Calibri"/>
                <w:b/>
                <w:sz w:val="22"/>
              </w:rPr>
              <w:t>Ticker</w:t>
            </w:r>
          </w:p>
        </w:tc>
        <w:tc>
          <w:tcPr>
            <w:tcW w:type="dxa" w:w="4320"/>
          </w:tcPr>
          <w:p>
            <w:r>
              <w:rPr>
                <w:rFonts w:ascii="Calibri" w:hAnsi="Calibri"/>
                <w:sz w:val="22"/>
              </w:rPr>
              <w:t>MLM (NYSE)</w:t>
            </w:r>
          </w:p>
        </w:tc>
      </w:tr>
      <w:tr>
        <w:tc>
          <w:tcPr>
            <w:tcW w:type="dxa" w:w="4320"/>
          </w:tcPr>
          <w:p>
            <w:r>
              <w:rPr>
                <w:rFonts w:ascii="Calibri" w:hAnsi="Calibri"/>
                <w:b/>
                <w:sz w:val="22"/>
              </w:rPr>
              <w:t>Upcoming Earnings Date</w:t>
            </w:r>
          </w:p>
        </w:tc>
        <w:tc>
          <w:tcPr>
            <w:tcW w:type="dxa" w:w="4320"/>
          </w:tcPr>
          <w:p>
            <w:r>
              <w:rPr>
                <w:rFonts w:ascii="Calibri" w:hAnsi="Calibri"/>
                <w:sz w:val="22"/>
              </w:rPr>
              <w:t>July 30, 2026 (10:00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XLB (Materials Select Sector SPDR)</w:t>
            </w:r>
          </w:p>
        </w:tc>
      </w:tr>
    </w:tbl>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has been revised down ~3% since last earnings on diesel/cost concerns, creating a beatable bar — but the single biggest swing factor is whether the $44M Quikrete inventory fair-value markup headwind to gross profit is offset by stronger-than-expected organic pricing realization from mid-year increases and East Division mix normalization.</w:t>
      </w:r>
    </w:p>
    <w:p>
      <w:r>
        <w:rPr>
          <w:rFonts w:ascii="Calibri" w:hAnsi="Calibri"/>
          <w:color w:val="525866"/>
          <w:sz w:val="22"/>
        </w:rPr>
        <w:t xml:space="preserve">Heading into the Q2 2026 print, the bar for MLM looks achievable: consensus Adjusted EBITDA of ~$626M sits modestly below the Q2 2025 actual of $630M, and management telegraphed at the Q1 call that it was "pretty optimistic" about the mid-year guidance reassessment, citing mid-year price increases, network optimization benefits, and New Frontier contributions as upside levers not yet embedded in guidance. </w:t>
      </w:r>
      <w:r>
        <w:rPr>
          <w:rFonts w:ascii="Calibri" w:hAnsi="Calibri"/>
          <w:color w:val="525866"/>
          <w:sz w:val="22"/>
        </w:rPr>
        <w:t xml:space="preserve">The most important known headwind is the remaining ~$44M Quikrete inventory fair-value markup charge flowing through Q2 gross profit (an EBITDA add-back, so EBITDA-neutral but a gross profit drag), while the key tailwind is the April 1 price increase realization and the East Division mix normalization that management flagged was already underway in April. </w:t>
      </w:r>
      <w:r>
        <w:rPr>
          <w:rFonts w:ascii="Calibri" w:hAnsi="Calibri"/>
          <w:color w:val="525866"/>
          <w:sz w:val="22"/>
        </w:rPr>
        <w:t xml:space="preserve">Estimate revisions have drifted lower since Q1 — diluted operating EPS consensus fell from ~$5.11 at the Q1 print to ~$4.94 currently — largely reflecting diesel headwinds of $20–25M expected in Q2 and the geographic mix overhang, suggesting the street has already de-risked the quarter. </w:t>
      </w:r>
      <w:r>
        <w:rPr>
          <w:rFonts w:ascii="Calibri" w:hAnsi="Calibri"/>
          <w:color w:val="525866"/>
          <w:sz w:val="22"/>
        </w:rPr>
        <w:t xml:space="preserve">The stock is down ~8% since the April 30 earnings date, underperforming XLB (flat) and the S&amp;P 500 (+2%), with the June 29 Lhoist North America acquisition announcement ($13.5B deal) creating meaningful uncertainty around leverage, dilution, and strategic direction that has weighed on the multiple. </w:t>
      </w:r>
      <w:r>
        <w:rPr>
          <w:rFonts w:ascii="Calibri" w:hAnsi="Calibri"/>
          <w:color w:val="525866"/>
          <w:sz w:val="22"/>
        </w:rPr>
        <w:t>The wildcard is the Lhoist deal: management will face intense scrutiny on financing structure, leverage trajectory (covenant allows up to 4.75x for the first three quarters post-close), and strategic rationale — any incremental color on synergies or timeline could move the stock more than the Q2 operating results themselves.</w:t>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on EBITDA and EPS given the ~3% downward revision since Q1 earnings, but aggregates gross profit per ton is the bigger swing factor — the $44M inventory markup headwind to gross profit (EBITDA-neutral) and diesel cost pressure mean reported gross profit metrics will look optically weak even if underlying unit economics are solid.</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$1,362M</w:t>
            </w:r>
          </w:p>
        </w:tc>
        <w:tc>
          <w:tcPr>
            <w:tcW w:type="dxa" w:w="1234"/>
          </w:tcPr>
          <w:p>
            <w:r>
              <w:rPr>
                <w:rFonts w:ascii="Calibri" w:hAnsi="Calibri"/>
                <w:sz w:val="22"/>
              </w:rPr>
              <w:t>$1,608M</w:t>
            </w:r>
          </w:p>
        </w:tc>
        <w:tc>
          <w:tcPr>
            <w:tcW w:type="dxa" w:w="1234"/>
          </w:tcPr>
          <w:p>
            <w:r>
              <w:rPr>
                <w:rFonts w:ascii="Calibri" w:hAnsi="Calibri"/>
                <w:sz w:val="22"/>
              </w:rPr>
              <w:t>$1,837M</w:t>
            </w:r>
          </w:p>
        </w:tc>
        <w:tc>
          <w:tcPr>
            <w:tcW w:type="dxa" w:w="1234"/>
          </w:tcPr>
          <w:p>
            <w:r>
              <w:rPr>
                <w:rFonts w:ascii="Calibri" w:hAnsi="Calibri"/>
                <w:sz w:val="22"/>
              </w:rPr>
              <w:t>+14.2%</w:t>
            </w:r>
          </w:p>
        </w:tc>
        <w:tc>
          <w:tcPr>
            <w:tcW w:type="dxa" w:w="1234"/>
          </w:tcPr>
          <w:p>
            <w:r>
              <w:rPr>
                <w:rFonts w:ascii="Calibri" w:hAnsi="Calibri"/>
                <w:sz w:val="22"/>
              </w:rPr>
              <w:t>$7,160M (FY)</w:t>
            </w:r>
          </w:p>
        </w:tc>
        <w:tc>
          <w:tcPr>
            <w:tcW w:type="dxa" w:w="1234"/>
          </w:tcPr>
          <w:p>
            <w:r>
              <w:rPr>
                <w:rFonts w:ascii="Calibri" w:hAnsi="Calibri"/>
                <w:sz w:val="22"/>
              </w:rPr>
              <w:t>~102% of FY run-rate</w:t>
            </w:r>
          </w:p>
        </w:tc>
      </w:tr>
      <w:tr>
        <w:tc>
          <w:tcPr>
            <w:tcW w:type="dxa" w:w="1234"/>
          </w:tcPr>
          <w:p>
            <w:r>
              <w:rPr>
                <w:rFonts w:ascii="Calibri" w:hAnsi="Calibri"/>
                <w:sz w:val="22"/>
              </w:rPr>
              <w:t>Adj. EBITDA ($M)</w:t>
            </w:r>
          </w:p>
        </w:tc>
        <w:tc>
          <w:tcPr>
            <w:tcW w:type="dxa" w:w="1234"/>
          </w:tcPr>
          <w:p>
            <w:r>
              <w:rPr>
                <w:rFonts w:ascii="Calibri" w:hAnsi="Calibri"/>
                <w:sz w:val="22"/>
              </w:rPr>
              <w:t>$364M</w:t>
            </w:r>
          </w:p>
        </w:tc>
        <w:tc>
          <w:tcPr>
            <w:tcW w:type="dxa" w:w="1234"/>
          </w:tcPr>
          <w:p>
            <w:r>
              <w:rPr>
                <w:rFonts w:ascii="Calibri" w:hAnsi="Calibri"/>
                <w:sz w:val="22"/>
              </w:rPr>
              <w:t>$630M</w:t>
            </w:r>
          </w:p>
        </w:tc>
        <w:tc>
          <w:tcPr>
            <w:tcW w:type="dxa" w:w="1234"/>
          </w:tcPr>
          <w:p>
            <w:r>
              <w:rPr>
                <w:rFonts w:ascii="Calibri" w:hAnsi="Calibri"/>
                <w:sz w:val="22"/>
              </w:rPr>
              <w:t>$626M</w:t>
            </w:r>
          </w:p>
        </w:tc>
        <w:tc>
          <w:tcPr>
            <w:tcW w:type="dxa" w:w="1234"/>
          </w:tcPr>
          <w:p>
            <w:r>
              <w:rPr>
                <w:rFonts w:ascii="Calibri" w:hAnsi="Calibri"/>
                <w:b/>
                <w:color w:val="E5484D"/>
                <w:sz w:val="22"/>
              </w:rPr>
              <w:t>-0.6%</w:t>
            </w:r>
          </w:p>
        </w:tc>
        <w:tc>
          <w:tcPr>
            <w:tcW w:type="dxa" w:w="1234"/>
          </w:tcPr>
          <w:p>
            <w:r>
              <w:rPr>
                <w:rFonts w:ascii="Calibri" w:hAnsi="Calibri"/>
                <w:sz w:val="22"/>
              </w:rPr>
              <w:t>$2,430M (FY)</w:t>
            </w:r>
          </w:p>
        </w:tc>
        <w:tc>
          <w:tcPr>
            <w:tcW w:type="dxa" w:w="1234"/>
          </w:tcPr>
          <w:p>
            <w:r>
              <w:rPr>
                <w:rFonts w:ascii="Calibri" w:hAnsi="Calibri"/>
                <w:sz w:val="22"/>
              </w:rPr>
              <w:t>~103% of FY run-rate</w:t>
            </w:r>
          </w:p>
        </w:tc>
      </w:tr>
      <w:tr>
        <w:tc>
          <w:tcPr>
            <w:tcW w:type="dxa" w:w="1234"/>
          </w:tcPr>
          <w:p>
            <w:r>
              <w:rPr>
                <w:rFonts w:ascii="Calibri" w:hAnsi="Calibri"/>
                <w:sz w:val="22"/>
              </w:rPr>
              <w:t>Diluted Operating EPS ($)</w:t>
            </w:r>
          </w:p>
        </w:tc>
        <w:tc>
          <w:tcPr>
            <w:tcW w:type="dxa" w:w="1234"/>
          </w:tcPr>
          <w:p>
            <w:r>
              <w:rPr>
                <w:rFonts w:ascii="Calibri" w:hAnsi="Calibri"/>
                <w:sz w:val="22"/>
              </w:rPr>
              <w:t>$1.93</w:t>
            </w:r>
          </w:p>
        </w:tc>
        <w:tc>
          <w:tcPr>
            <w:tcW w:type="dxa" w:w="1234"/>
          </w:tcPr>
          <w:p>
            <w:r>
              <w:rPr>
                <w:rFonts w:ascii="Calibri" w:hAnsi="Calibri"/>
                <w:sz w:val="22"/>
              </w:rPr>
              <w:t>$5.43</w:t>
            </w:r>
          </w:p>
        </w:tc>
        <w:tc>
          <w:tcPr>
            <w:tcW w:type="dxa" w:w="1234"/>
          </w:tcPr>
          <w:p>
            <w:r>
              <w:rPr>
                <w:rFonts w:ascii="Calibri" w:hAnsi="Calibri"/>
                <w:sz w:val="22"/>
              </w:rPr>
              <w:t>$4.94</w:t>
            </w:r>
          </w:p>
        </w:tc>
        <w:tc>
          <w:tcPr>
            <w:tcW w:type="dxa" w:w="1234"/>
          </w:tcPr>
          <w:p>
            <w:r>
              <w:rPr>
                <w:rFonts w:ascii="Calibri" w:hAnsi="Calibri"/>
                <w:b/>
                <w:color w:val="E5484D"/>
                <w:sz w:val="22"/>
              </w:rPr>
              <w:t>-9.0%</w:t>
            </w:r>
          </w:p>
        </w:tc>
        <w:tc>
          <w:tcPr>
            <w:tcW w:type="dxa" w:w="1234"/>
          </w:tcPr>
          <w:p>
            <w:r>
              <w:rPr>
                <w:rFonts w:ascii="Calibri" w:hAnsi="Calibri"/>
                <w:sz w:val="22"/>
              </w:rPr>
              <w:t>$19.31 (FY)</w:t>
            </w:r>
          </w:p>
        </w:tc>
        <w:tc>
          <w:tcPr>
            <w:tcW w:type="dxa" w:w="1234"/>
          </w:tcPr>
          <w:p>
            <w:r>
              <w:rPr>
                <w:rFonts w:ascii="Calibri" w:hAnsi="Calibri"/>
                <w:sz w:val="22"/>
              </w:rPr>
              <w:t>~102% of FY run-rate</w:t>
            </w:r>
          </w:p>
        </w:tc>
      </w:tr>
      <w:tr>
        <w:tc>
          <w:tcPr>
            <w:tcW w:type="dxa" w:w="1234"/>
          </w:tcPr>
          <w:p>
            <w:r>
              <w:rPr>
                <w:rFonts w:ascii="Calibri" w:hAnsi="Calibri"/>
                <w:sz w:val="22"/>
              </w:rPr>
              <w:t>Aggregates Volume — Total (M tons)</w:t>
            </w:r>
          </w:p>
        </w:tc>
        <w:tc>
          <w:tcPr>
            <w:tcW w:type="dxa" w:w="1234"/>
          </w:tcPr>
          <w:p>
            <w:r>
              <w:rPr>
                <w:rFonts w:ascii="Calibri" w:hAnsi="Calibri"/>
                <w:sz w:val="22"/>
              </w:rPr>
              <w:t>43.9M</w:t>
            </w:r>
          </w:p>
        </w:tc>
        <w:tc>
          <w:tcPr>
            <w:tcW w:type="dxa" w:w="1234"/>
          </w:tcPr>
          <w:p>
            <w:r>
              <w:rPr>
                <w:rFonts w:ascii="Calibri" w:hAnsi="Calibri"/>
                <w:sz w:val="22"/>
              </w:rPr>
              <w:t>52.7M</w:t>
            </w:r>
          </w:p>
        </w:tc>
        <w:tc>
          <w:tcPr>
            <w:tcW w:type="dxa" w:w="1234"/>
          </w:tcPr>
          <w:p>
            <w:r>
              <w:rPr>
                <w:rFonts w:ascii="Calibri" w:hAnsi="Calibri"/>
                <w:sz w:val="22"/>
              </w:rPr>
              <w:t>59.6M</w:t>
            </w:r>
          </w:p>
        </w:tc>
        <w:tc>
          <w:tcPr>
            <w:tcW w:type="dxa" w:w="1234"/>
          </w:tcPr>
          <w:p>
            <w:r>
              <w:rPr>
                <w:rFonts w:ascii="Calibri" w:hAnsi="Calibri"/>
                <w:b/>
                <w:color w:val="30A46C"/>
                <w:sz w:val="22"/>
              </w:rPr>
              <w:t>+13.1%</w:t>
            </w:r>
          </w:p>
        </w:tc>
        <w:tc>
          <w:tcPr>
            <w:tcW w:type="dxa" w:w="1234"/>
          </w:tcPr>
          <w:p>
            <w:r>
              <w:rPr>
                <w:rFonts w:ascii="Calibri" w:hAnsi="Calibri"/>
                <w:sz w:val="22"/>
              </w:rPr>
              <w:t>223.8M (FY, +12% YoY)</w:t>
            </w:r>
          </w:p>
        </w:tc>
        <w:tc>
          <w:tcPr>
            <w:tcW w:type="dxa" w:w="1234"/>
          </w:tcPr>
          <w:p>
            <w:r>
              <w:rPr>
                <w:rFonts w:ascii="Calibri" w:hAnsi="Calibri"/>
                <w:sz w:val="22"/>
              </w:rPr>
              <w:t>~106% of FY run-rate</w:t>
            </w:r>
          </w:p>
        </w:tc>
      </w:tr>
      <w:tr>
        <w:tc>
          <w:tcPr>
            <w:tcW w:type="dxa" w:w="1234"/>
          </w:tcPr>
          <w:p>
            <w:r>
              <w:rPr>
                <w:rFonts w:ascii="Calibri" w:hAnsi="Calibri"/>
                <w:sz w:val="22"/>
              </w:rPr>
              <w:t>Avg. Realized Price — Aggregates ($/ton)</w:t>
            </w:r>
          </w:p>
        </w:tc>
        <w:tc>
          <w:tcPr>
            <w:tcW w:type="dxa" w:w="1234"/>
          </w:tcPr>
          <w:p>
            <w:r>
              <w:rPr>
                <w:rFonts w:ascii="Calibri" w:hAnsi="Calibri"/>
                <w:sz w:val="22"/>
              </w:rPr>
              <w:t>$23.70</w:t>
            </w:r>
          </w:p>
        </w:tc>
        <w:tc>
          <w:tcPr>
            <w:tcW w:type="dxa" w:w="1234"/>
          </w:tcPr>
          <w:p>
            <w:r>
              <w:rPr>
                <w:rFonts w:ascii="Calibri" w:hAnsi="Calibri"/>
                <w:sz w:val="22"/>
              </w:rPr>
              <w:t>$23.21</w:t>
            </w:r>
          </w:p>
        </w:tc>
        <w:tc>
          <w:tcPr>
            <w:tcW w:type="dxa" w:w="1234"/>
          </w:tcPr>
          <w:p>
            <w:r>
              <w:rPr>
                <w:rFonts w:ascii="Calibri" w:hAnsi="Calibri"/>
                <w:sz w:val="22"/>
              </w:rPr>
              <w:t>$23.62</w:t>
            </w:r>
          </w:p>
        </w:tc>
        <w:tc>
          <w:tcPr>
            <w:tcW w:type="dxa" w:w="1234"/>
          </w:tcPr>
          <w:p>
            <w:r>
              <w:rPr>
                <w:rFonts w:ascii="Calibri" w:hAnsi="Calibri"/>
                <w:sz w:val="22"/>
              </w:rPr>
              <w:t>+1.8%</w:t>
            </w:r>
          </w:p>
        </w:tc>
        <w:tc>
          <w:tcPr>
            <w:tcW w:type="dxa" w:w="1234"/>
          </w:tcPr>
          <w:p>
            <w:r>
              <w:rPr>
                <w:rFonts w:ascii="Calibri" w:hAnsi="Calibri"/>
                <w:sz w:val="22"/>
              </w:rPr>
              <w:t>$23.86 (FY avg.)</w:t>
            </w:r>
          </w:p>
        </w:tc>
        <w:tc>
          <w:tcPr>
            <w:tcW w:type="dxa" w:w="1234"/>
          </w:tcPr>
          <w:p>
            <w:r>
              <w:rPr>
                <w:rFonts w:ascii="Calibri" w:hAnsi="Calibri"/>
                <w:sz w:val="22"/>
              </w:rPr>
              <w:t>~99% of FY avg.</w:t>
            </w:r>
          </w:p>
        </w:tc>
      </w:tr>
      <w:tr>
        <w:tc>
          <w:tcPr>
            <w:tcW w:type="dxa" w:w="1234"/>
          </w:tcPr>
          <w:p>
            <w:r>
              <w:rPr>
                <w:rFonts w:ascii="Calibri" w:hAnsi="Calibri"/>
                <w:sz w:val="22"/>
              </w:rPr>
              <w:t>Aggregates Gross Profit ($M)</w:t>
            </w:r>
          </w:p>
        </w:tc>
        <w:tc>
          <w:tcPr>
            <w:tcW w:type="dxa" w:w="1234"/>
          </w:tcPr>
          <w:p>
            <w:r>
              <w:rPr>
                <w:rFonts w:ascii="Calibri" w:hAnsi="Calibri"/>
                <w:sz w:val="22"/>
              </w:rPr>
              <w:t>$288M</w:t>
            </w:r>
          </w:p>
        </w:tc>
        <w:tc>
          <w:tcPr>
            <w:tcW w:type="dxa" w:w="1234"/>
          </w:tcPr>
          <w:p>
            <w:r>
              <w:rPr>
                <w:rFonts w:ascii="Calibri" w:hAnsi="Calibri"/>
                <w:sz w:val="22"/>
              </w:rPr>
              <w:t>$430M</w:t>
            </w:r>
          </w:p>
        </w:tc>
        <w:tc>
          <w:tcPr>
            <w:tcW w:type="dxa" w:w="1234"/>
          </w:tcPr>
          <w:p>
            <w:r>
              <w:rPr>
                <w:rFonts w:ascii="Calibri" w:hAnsi="Calibri"/>
                <w:sz w:val="22"/>
              </w:rPr>
              <w:t>$466M</w:t>
            </w:r>
          </w:p>
        </w:tc>
        <w:tc>
          <w:tcPr>
            <w:tcW w:type="dxa" w:w="1234"/>
          </w:tcPr>
          <w:p>
            <w:r>
              <w:rPr>
                <w:rFonts w:ascii="Calibri" w:hAnsi="Calibri"/>
                <w:b/>
                <w:color w:val="30A46C"/>
                <w:sz w:val="22"/>
              </w:rPr>
              <w:t>+8.4%</w:t>
            </w:r>
          </w:p>
        </w:tc>
        <w:tc>
          <w:tcPr>
            <w:tcW w:type="dxa" w:w="1234"/>
          </w:tcPr>
          <w:p>
            <w:r>
              <w:rPr>
                <w:rFonts w:ascii="Calibri" w:hAnsi="Calibri"/>
                <w:sz w:val="22"/>
              </w:rPr>
              <w:t>$1,899M (FY)</w:t>
            </w:r>
          </w:p>
        </w:tc>
        <w:tc>
          <w:tcPr>
            <w:tcW w:type="dxa" w:w="1234"/>
          </w:tcPr>
          <w:p>
            <w:r>
              <w:rPr>
                <w:rFonts w:ascii="Calibri" w:hAnsi="Calibri"/>
                <w:sz w:val="22"/>
              </w:rPr>
              <w:t>~98% of FY run-rate</w:t>
            </w:r>
          </w:p>
        </w:tc>
      </w:tr>
    </w:tbl>
    <w:p>
      <w:r>
        <w:rPr>
          <w:rFonts w:ascii="Calibri" w:hAnsi="Calibri"/>
          <w:b/>
          <w:color w:val="525866"/>
          <w:sz w:val="22"/>
        </w:rPr>
        <w:t xml:space="preserve">Sources: </w:t>
      </w:r>
      <w:r>
        <w:rPr>
          <w:rFonts w:ascii="Calibri" w:hAnsi="Calibri"/>
          <w:color w:val="525866"/>
          <w:sz w:val="22"/>
        </w:rPr>
        <w:t>Visible Alpha Consensus and Actuals Data (https://insights.visiblealpha.com/mex/MLM_US/NMV/IS, /SG, /RV). Q1 2026 actuals and Q2 2025 actuals from Visible Alpha reported figures. Q2 2026 consensus estimates from Visible Alpha latest consensus as of July 29, 2026. FY 2026 guidance from MLM Q1 2026 Earnings Release (April 30, 2026). Note: Q2 2026 YoY comparisons reflect Quikrete acquisition contribution (closed Feb 23, 2026) inflating volume and revenue vs. prior year organic figures. Aggregates gross profit Q2 2026 consensus includes ~$44M inventory fair-value markup headwind (EBITDA add-back). Diluted Operating EPS prioritized over reported GAAP EPS.</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KPI 1: Adjusted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$364M</w:t>
            </w:r>
          </w:p>
        </w:tc>
        <w:tc>
          <w:tcPr>
            <w:tcW w:type="dxa" w:w="1728"/>
          </w:tcPr>
          <w:p>
            <w:r>
              <w:rPr>
                <w:rFonts w:ascii="Calibri" w:hAnsi="Calibri"/>
                <w:sz w:val="22"/>
              </w:rPr>
              <w:t>$372M</w:t>
            </w:r>
          </w:p>
        </w:tc>
        <w:tc>
          <w:tcPr>
            <w:tcW w:type="dxa" w:w="1728"/>
          </w:tcPr>
          <w:p>
            <w:r>
              <w:rPr>
                <w:rFonts w:ascii="Calibri" w:hAnsi="Calibri"/>
                <w:sz w:val="22"/>
              </w:rPr>
              <w:t>-2.2%</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$515M</w:t>
            </w:r>
          </w:p>
        </w:tc>
        <w:tc>
          <w:tcPr>
            <w:tcW w:type="dxa" w:w="1728"/>
          </w:tcPr>
          <w:p>
            <w:r>
              <w:rPr>
                <w:rFonts w:ascii="Calibri" w:hAnsi="Calibri"/>
                <w:sz w:val="22"/>
              </w:rPr>
              <w:t>$577M</w:t>
            </w:r>
          </w:p>
        </w:tc>
        <w:tc>
          <w:tcPr>
            <w:tcW w:type="dxa" w:w="1728"/>
          </w:tcPr>
          <w:p>
            <w:r>
              <w:rPr>
                <w:rFonts w:ascii="Calibri" w:hAnsi="Calibri"/>
                <w:sz w:val="22"/>
              </w:rPr>
              <w:t>-10.7%</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$743M</w:t>
            </w:r>
          </w:p>
        </w:tc>
        <w:tc>
          <w:tcPr>
            <w:tcW w:type="dxa" w:w="1728"/>
          </w:tcPr>
          <w:p>
            <w:r>
              <w:rPr>
                <w:rFonts w:ascii="Calibri" w:hAnsi="Calibri"/>
                <w:sz w:val="22"/>
              </w:rPr>
              <w:t>$730M</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$630M</w:t>
            </w:r>
          </w:p>
        </w:tc>
        <w:tc>
          <w:tcPr>
            <w:tcW w:type="dxa" w:w="1728"/>
          </w:tcPr>
          <w:p>
            <w:r>
              <w:rPr>
                <w:rFonts w:ascii="Calibri" w:hAnsi="Calibri"/>
                <w:sz w:val="22"/>
              </w:rPr>
              <w:t>$616M</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$319M</w:t>
            </w:r>
          </w:p>
        </w:tc>
        <w:tc>
          <w:tcPr>
            <w:tcW w:type="dxa" w:w="1728"/>
          </w:tcPr>
          <w:p>
            <w:r>
              <w:rPr>
                <w:rFonts w:ascii="Calibri" w:hAnsi="Calibri"/>
                <w:sz w:val="22"/>
              </w:rPr>
              <w:t>$346M</w:t>
            </w:r>
          </w:p>
        </w:tc>
        <w:tc>
          <w:tcPr>
            <w:tcW w:type="dxa" w:w="1728"/>
          </w:tcPr>
          <w:p>
            <w:r>
              <w:rPr>
                <w:rFonts w:ascii="Calibri" w:hAnsi="Calibri"/>
                <w:sz w:val="22"/>
              </w:rPr>
              <w:t>-7.8%</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$467M</w:t>
            </w:r>
          </w:p>
        </w:tc>
        <w:tc>
          <w:tcPr>
            <w:tcW w:type="dxa" w:w="1728"/>
          </w:tcPr>
          <w:p>
            <w:r>
              <w:rPr>
                <w:rFonts w:ascii="Calibri" w:hAnsi="Calibri"/>
                <w:sz w:val="22"/>
              </w:rPr>
              <w:t>$543M</w:t>
            </w:r>
          </w:p>
        </w:tc>
        <w:tc>
          <w:tcPr>
            <w:tcW w:type="dxa" w:w="1728"/>
          </w:tcPr>
          <w:p>
            <w:r>
              <w:rPr>
                <w:rFonts w:ascii="Calibri" w:hAnsi="Calibri"/>
                <w:sz w:val="22"/>
              </w:rPr>
              <w:t>-14.0%</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$547M</w:t>
            </w:r>
          </w:p>
        </w:tc>
        <w:tc>
          <w:tcPr>
            <w:tcW w:type="dxa" w:w="1728"/>
          </w:tcPr>
          <w:p>
            <w:r>
              <w:rPr>
                <w:rFonts w:ascii="Calibri" w:hAnsi="Calibri"/>
                <w:sz w:val="22"/>
              </w:rPr>
              <w:t>$670M</w:t>
            </w:r>
          </w:p>
        </w:tc>
        <w:tc>
          <w:tcPr>
            <w:tcW w:type="dxa" w:w="1728"/>
          </w:tcPr>
          <w:p>
            <w:r>
              <w:rPr>
                <w:rFonts w:ascii="Calibri" w:hAnsi="Calibri"/>
                <w:sz w:val="22"/>
              </w:rPr>
              <w:t>-18.4%</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$630M</w:t>
            </w:r>
          </w:p>
        </w:tc>
        <w:tc>
          <w:tcPr>
            <w:tcW w:type="dxa" w:w="1728"/>
          </w:tcPr>
          <w:p>
            <w:r>
              <w:rPr>
                <w:rFonts w:ascii="Calibri" w:hAnsi="Calibri"/>
                <w:sz w:val="22"/>
              </w:rPr>
              <w:t>$616M</w:t>
            </w:r>
          </w:p>
        </w:tc>
        <w:tc>
          <w:tcPr>
            <w:tcW w:type="dxa" w:w="1728"/>
          </w:tcPr>
          <w:p>
            <w:r>
              <w:rPr>
                <w:rFonts w:ascii="Calibri" w:hAnsi="Calibri"/>
                <w:sz w:val="22"/>
              </w:rPr>
              <w:t>+2.3%</w:t>
            </w:r>
          </w:p>
        </w:tc>
        <w:tc>
          <w:tcPr>
            <w:tcW w:type="dxa" w:w="1728"/>
          </w:tcPr>
          <w:p>
            <w:r>
              <w:rPr>
                <w:rFonts w:ascii="Calibri" w:hAnsi="Calibri"/>
                <w:b/>
                <w:color w:val="30A46C"/>
                <w:sz w:val="22"/>
              </w:rPr>
              <w:t>Beat</w:t>
            </w:r>
          </w:p>
        </w:tc>
      </w:tr>
    </w:tbl>
    <w:p>
      <w:pPr>
        <w:pStyle w:val="Heading3"/>
      </w:pPr>
      <w:r>
        <w:rPr>
          <w:rFonts w:ascii="Calibri" w:hAnsi="Calibri"/>
          <w:b/>
          <w:color w:val="3B4259"/>
          <w:sz w:val="24"/>
        </w:rPr>
        <w:t>KPI 2: Diluted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$1.93</w:t>
            </w:r>
          </w:p>
        </w:tc>
        <w:tc>
          <w:tcPr>
            <w:tcW w:type="dxa" w:w="1728"/>
          </w:tcPr>
          <w:p>
            <w:r>
              <w:rPr>
                <w:rFonts w:ascii="Calibri" w:hAnsi="Calibri"/>
                <w:sz w:val="22"/>
              </w:rPr>
              <w:t>$2.03</w:t>
            </w:r>
          </w:p>
        </w:tc>
        <w:tc>
          <w:tcPr>
            <w:tcW w:type="dxa" w:w="1728"/>
          </w:tcPr>
          <w:p>
            <w:r>
              <w:rPr>
                <w:rFonts w:ascii="Calibri" w:hAnsi="Calibri"/>
                <w:sz w:val="22"/>
              </w:rPr>
              <w:t>-4.9%</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$3.85</w:t>
            </w:r>
          </w:p>
        </w:tc>
        <w:tc>
          <w:tcPr>
            <w:tcW w:type="dxa" w:w="1728"/>
          </w:tcPr>
          <w:p>
            <w:r>
              <w:rPr>
                <w:rFonts w:ascii="Calibri" w:hAnsi="Calibri"/>
                <w:sz w:val="22"/>
              </w:rPr>
              <w:t>$4.88</w:t>
            </w:r>
          </w:p>
        </w:tc>
        <w:tc>
          <w:tcPr>
            <w:tcW w:type="dxa" w:w="1728"/>
          </w:tcPr>
          <w:p>
            <w:r>
              <w:rPr>
                <w:rFonts w:ascii="Calibri" w:hAnsi="Calibri"/>
                <w:sz w:val="22"/>
              </w:rPr>
              <w:t>-21.1%</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$5.98</w:t>
            </w:r>
          </w:p>
        </w:tc>
        <w:tc>
          <w:tcPr>
            <w:tcW w:type="dxa" w:w="1728"/>
          </w:tcPr>
          <w:p>
            <w:r>
              <w:rPr>
                <w:rFonts w:ascii="Calibri" w:hAnsi="Calibri"/>
                <w:sz w:val="22"/>
              </w:rPr>
              <w:t>$6.70</w:t>
            </w:r>
          </w:p>
        </w:tc>
        <w:tc>
          <w:tcPr>
            <w:tcW w:type="dxa" w:w="1728"/>
          </w:tcPr>
          <w:p>
            <w:r>
              <w:rPr>
                <w:rFonts w:ascii="Calibri" w:hAnsi="Calibri"/>
                <w:sz w:val="22"/>
              </w:rPr>
              <w:t>-10.7%</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$5.43</w:t>
            </w:r>
          </w:p>
        </w:tc>
        <w:tc>
          <w:tcPr>
            <w:tcW w:type="dxa" w:w="1728"/>
          </w:tcPr>
          <w:p>
            <w:r>
              <w:rPr>
                <w:rFonts w:ascii="Calibri" w:hAnsi="Calibri"/>
                <w:sz w:val="22"/>
              </w:rPr>
              <w:t>$5.31</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$1.70</w:t>
            </w:r>
          </w:p>
        </w:tc>
        <w:tc>
          <w:tcPr>
            <w:tcW w:type="dxa" w:w="1728"/>
          </w:tcPr>
          <w:p>
            <w:r>
              <w:rPr>
                <w:rFonts w:ascii="Calibri" w:hAnsi="Calibri"/>
                <w:sz w:val="22"/>
              </w:rPr>
              <w:t>$1.85</w:t>
            </w:r>
          </w:p>
        </w:tc>
        <w:tc>
          <w:tcPr>
            <w:tcW w:type="dxa" w:w="1728"/>
          </w:tcPr>
          <w:p>
            <w:r>
              <w:rPr>
                <w:rFonts w:ascii="Calibri" w:hAnsi="Calibri"/>
                <w:sz w:val="22"/>
              </w:rPr>
              <w:t>-8.1%</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$4.79</w:t>
            </w:r>
          </w:p>
        </w:tc>
        <w:tc>
          <w:tcPr>
            <w:tcW w:type="dxa" w:w="1728"/>
          </w:tcPr>
          <w:p>
            <w:r>
              <w:rPr>
                <w:rFonts w:ascii="Calibri" w:hAnsi="Calibri"/>
                <w:sz w:val="22"/>
              </w:rPr>
              <w:t>$4.55</w:t>
            </w:r>
          </w:p>
        </w:tc>
        <w:tc>
          <w:tcPr>
            <w:tcW w:type="dxa" w:w="1728"/>
          </w:tcPr>
          <w:p>
            <w:r>
              <w:rPr>
                <w:rFonts w:ascii="Calibri" w:hAnsi="Calibri"/>
                <w:sz w:val="22"/>
              </w:rPr>
              <w:t>+5.3%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$4.84</w:t>
            </w:r>
          </w:p>
        </w:tc>
        <w:tc>
          <w:tcPr>
            <w:tcW w:type="dxa" w:w="1728"/>
          </w:tcPr>
          <w:p>
            <w:r>
              <w:rPr>
                <w:rFonts w:ascii="Calibri" w:hAnsi="Calibri"/>
                <w:sz w:val="22"/>
              </w:rPr>
              <w:t>$6.22</w:t>
            </w:r>
          </w:p>
        </w:tc>
        <w:tc>
          <w:tcPr>
            <w:tcW w:type="dxa" w:w="1728"/>
          </w:tcPr>
          <w:p>
            <w:r>
              <w:rPr>
                <w:rFonts w:ascii="Calibri" w:hAnsi="Calibri"/>
                <w:sz w:val="22"/>
              </w:rPr>
              <w:t>-22.2%</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$5.43</w:t>
            </w:r>
          </w:p>
        </w:tc>
        <w:tc>
          <w:tcPr>
            <w:tcW w:type="dxa" w:w="1728"/>
          </w:tcPr>
          <w:p>
            <w:r>
              <w:rPr>
                <w:rFonts w:ascii="Calibri" w:hAnsi="Calibri"/>
                <w:sz w:val="22"/>
              </w:rPr>
              <w:t>$5.31</w:t>
            </w:r>
          </w:p>
        </w:tc>
        <w:tc>
          <w:tcPr>
            <w:tcW w:type="dxa" w:w="1728"/>
          </w:tcPr>
          <w:p>
            <w:r>
              <w:rPr>
                <w:rFonts w:ascii="Calibri" w:hAnsi="Calibri"/>
                <w:sz w:val="22"/>
              </w:rPr>
              <w:t>+2.3%</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MLM has missed consensus EBITDA in 5 of the last 8 quarters, with the misses concentrated in Q3 2024 through Q1 2026 — a period marked by weather disruptions, cost inflation, and geographic mix headwinds. The two most recent beats (Q2 2025, Q3 2025) were driven by infrastructure demand strength; the Q1 2026 miss reflected the Quikrete inventory markup and geographic mix. The downward-revised Q2 2026 bar suggests the street has partially de-risked the quarter, but the pattern of misses warrants caution on gross profit metrics.</w:t>
      </w:r>
    </w:p>
    <w:p>
      <w:r>
        <w:rPr>
          <w:rFonts w:ascii="Calibri" w:hAnsi="Calibri"/>
          <w:b/>
          <w:color w:val="525866"/>
          <w:sz w:val="22"/>
        </w:rPr>
        <w:t xml:space="preserve">Source: </w:t>
      </w:r>
      <w:r>
        <w:rPr>
          <w:rFonts w:ascii="Calibri" w:hAnsi="Calibri"/>
          <w:color w:val="525866"/>
          <w:sz w:val="22"/>
        </w:rPr>
        <w:t>Visible Alpha Consensus and Actuals Data (https://insights.visiblealpha.com/mex/MLM_US/NMV/IS). Beat/miss calculated as (Reported − Consensus) / |Consensus|. Note: Q2 2024 and Q2 2025 EBITDA actuals are the same ($630M) per Visible Alpha data; beat/miss percentages reflect consensus at time of reporting.</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reaffirmed full-year 2026 Adjusted EBITDA guidance at $2.43B midpoint on the Q1 call (April 30), with tone notably bullish — Ward Nye explicitly flagged mid-year pricing, network optimization, and New Frontier as "more than potential upsides" not yet in the guide. No formal guidance revision has been issued since, but the Lhoist acquisition announcement (June 29) introduces a new variable around capital structure and potential dilution.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(FY 2026)</w:t>
            </w:r>
          </w:p>
        </w:tc>
        <w:tc>
          <w:tcPr>
            <w:tcW w:type="dxa" w:w="1728"/>
          </w:tcPr>
          <w:p>
            <w:r>
              <w:rPr>
                <w:rFonts w:ascii="Calibri" w:hAnsi="Calibri"/>
                <w:sz w:val="22"/>
              </w:rPr>
              <w:t>$7,000–$7,320M ($7,160M mid)</w:t>
            </w:r>
          </w:p>
        </w:tc>
        <w:tc>
          <w:tcPr>
            <w:tcW w:type="dxa" w:w="1728"/>
          </w:tcPr>
          <w:p>
            <w:r>
              <w:rPr>
                <w:rFonts w:ascii="Calibri" w:hAnsi="Calibri"/>
                <w:sz w:val="22"/>
              </w:rPr>
              <w:t>—</w:t>
            </w:r>
          </w:p>
        </w:tc>
        <w:tc>
          <w:tcPr>
            <w:tcW w:type="dxa" w:w="1728"/>
          </w:tcPr>
          <w:p>
            <w:r>
              <w:rPr>
                <w:rFonts w:ascii="Calibri" w:hAnsi="Calibri"/>
                <w:sz w:val="22"/>
              </w:rPr>
              <w:t>$7,142M</w:t>
            </w:r>
          </w:p>
        </w:tc>
        <w:tc>
          <w:tcPr>
            <w:tcW w:type="dxa" w:w="1728"/>
          </w:tcPr>
          <w:p>
            <w:r>
              <w:rPr>
                <w:rFonts w:ascii="Calibri" w:hAnsi="Calibri"/>
                <w:sz w:val="22"/>
              </w:rPr>
              <w:t>Unchanged; consensus in line with midpoint</w:t>
            </w:r>
          </w:p>
        </w:tc>
      </w:tr>
      <w:tr>
        <w:tc>
          <w:tcPr>
            <w:tcW w:type="dxa" w:w="1728"/>
          </w:tcPr>
          <w:p>
            <w:r>
              <w:rPr>
                <w:rFonts w:ascii="Calibri" w:hAnsi="Calibri"/>
                <w:sz w:val="22"/>
              </w:rPr>
              <w:t>Adj. EBITDA from Cont. Ops. (FY 2026)</w:t>
            </w:r>
          </w:p>
        </w:tc>
        <w:tc>
          <w:tcPr>
            <w:tcW w:type="dxa" w:w="1728"/>
          </w:tcPr>
          <w:p>
            <w:r>
              <w:rPr>
                <w:rFonts w:ascii="Calibri" w:hAnsi="Calibri"/>
                <w:sz w:val="22"/>
              </w:rPr>
              <w:t>$2,360–$2,500M ($2,430M mid)</w:t>
            </w:r>
          </w:p>
        </w:tc>
        <w:tc>
          <w:tcPr>
            <w:tcW w:type="dxa" w:w="1728"/>
          </w:tcPr>
          <w:p>
            <w:r>
              <w:rPr>
                <w:rFonts w:ascii="Calibri" w:hAnsi="Calibri"/>
                <w:sz w:val="22"/>
              </w:rPr>
              <w:t>—</w:t>
            </w:r>
          </w:p>
        </w:tc>
        <w:tc>
          <w:tcPr>
            <w:tcW w:type="dxa" w:w="1728"/>
          </w:tcPr>
          <w:p>
            <w:r>
              <w:rPr>
                <w:rFonts w:ascii="Calibri" w:hAnsi="Calibri"/>
                <w:sz w:val="22"/>
              </w:rPr>
              <w:t>$2,411M</w:t>
            </w:r>
          </w:p>
        </w:tc>
        <w:tc>
          <w:tcPr>
            <w:tcW w:type="dxa" w:w="1728"/>
          </w:tcPr>
          <w:p>
            <w:r>
              <w:rPr>
                <w:rFonts w:ascii="Calibri" w:hAnsi="Calibri"/>
                <w:sz w:val="22"/>
              </w:rPr>
              <w:t>Unchanged; consensus ~$19M below midpoint; management signaled upside levers at mid-year review</w:t>
            </w:r>
          </w:p>
        </w:tc>
      </w:tr>
      <w:tr>
        <w:tc>
          <w:tcPr>
            <w:tcW w:type="dxa" w:w="1728"/>
          </w:tcPr>
          <w:p>
            <w:r>
              <w:rPr>
                <w:rFonts w:ascii="Calibri" w:hAnsi="Calibri"/>
                <w:sz w:val="22"/>
              </w:rPr>
              <w:t>Aggregates Organic Volume Growth (FY 2026)</w:t>
            </w:r>
          </w:p>
        </w:tc>
        <w:tc>
          <w:tcPr>
            <w:tcW w:type="dxa" w:w="1728"/>
          </w:tcPr>
          <w:p>
            <w:r>
              <w:rPr>
                <w:rFonts w:ascii="Calibri" w:hAnsi="Calibri"/>
                <w:sz w:val="22"/>
              </w:rPr>
              <w:t>+1% to +3% (+2% mid)</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Q1 organic volume +7.2% beat; management expects high end of full-year guide</w:t>
            </w:r>
          </w:p>
        </w:tc>
      </w:tr>
      <w:tr>
        <w:tc>
          <w:tcPr>
            <w:tcW w:type="dxa" w:w="1728"/>
          </w:tcPr>
          <w:p>
            <w:r>
              <w:rPr>
                <w:rFonts w:ascii="Calibri" w:hAnsi="Calibri"/>
                <w:sz w:val="22"/>
              </w:rPr>
              <w:t>Aggregates Total Volume Growth (FY 2026)</w:t>
            </w:r>
          </w:p>
        </w:tc>
        <w:tc>
          <w:tcPr>
            <w:tcW w:type="dxa" w:w="1728"/>
          </w:tcPr>
          <w:p>
            <w:r>
              <w:rPr>
                <w:rFonts w:ascii="Calibri" w:hAnsi="Calibri"/>
                <w:sz w:val="22"/>
              </w:rPr>
              <w:t>+11% to +13% (+12% mid)</w:t>
            </w:r>
          </w:p>
        </w:tc>
        <w:tc>
          <w:tcPr>
            <w:tcW w:type="dxa" w:w="1728"/>
          </w:tcPr>
          <w:p>
            <w:r>
              <w:rPr>
                <w:rFonts w:ascii="Calibri" w:hAnsi="Calibri"/>
                <w:sz w:val="22"/>
              </w:rPr>
              <w:t>—</w:t>
            </w:r>
          </w:p>
        </w:tc>
        <w:tc>
          <w:tcPr>
            <w:tcW w:type="dxa" w:w="1728"/>
          </w:tcPr>
          <w:p>
            <w:r>
              <w:rPr>
                <w:rFonts w:ascii="Calibri" w:hAnsi="Calibri"/>
                <w:sz w:val="22"/>
              </w:rPr>
              <w:t>~223.8M tons (VA)</w:t>
            </w:r>
          </w:p>
        </w:tc>
        <w:tc>
          <w:tcPr>
            <w:tcW w:type="dxa" w:w="1728"/>
          </w:tcPr>
          <w:p>
            <w:r>
              <w:rPr>
                <w:rFonts w:ascii="Calibri" w:hAnsi="Calibri"/>
                <w:sz w:val="22"/>
              </w:rPr>
              <w:t>Unchanged; consensus broadly in line with guidance midpoint</w:t>
            </w:r>
          </w:p>
        </w:tc>
      </w:tr>
      <w:tr>
        <w:tc>
          <w:tcPr>
            <w:tcW w:type="dxa" w:w="1728"/>
          </w:tcPr>
          <w:p>
            <w:r>
              <w:rPr>
                <w:rFonts w:ascii="Calibri" w:hAnsi="Calibri"/>
                <w:sz w:val="22"/>
              </w:rPr>
              <w:t>Aggregates Organic ASP Growth (FY 2026)</w:t>
            </w:r>
          </w:p>
        </w:tc>
        <w:tc>
          <w:tcPr>
            <w:tcW w:type="dxa" w:w="1728"/>
          </w:tcPr>
          <w:p>
            <w:r>
              <w:rPr>
                <w:rFonts w:ascii="Calibri" w:hAnsi="Calibri"/>
                <w:sz w:val="22"/>
              </w:rPr>
              <w:t>+4% to +6% (+5% mid)</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Mid-year price increases broadly implemented; management expects greater realization than 2025</w:t>
            </w:r>
          </w:p>
        </w:tc>
      </w:tr>
      <w:tr>
        <w:tc>
          <w:tcPr>
            <w:tcW w:type="dxa" w:w="1728"/>
          </w:tcPr>
          <w:p>
            <w:r>
              <w:rPr>
                <w:rFonts w:ascii="Calibri" w:hAnsi="Calibri"/>
                <w:sz w:val="22"/>
              </w:rPr>
              <w:t>Capital Expenditures (FY 2026)</w:t>
            </w:r>
          </w:p>
        </w:tc>
        <w:tc>
          <w:tcPr>
            <w:tcW w:type="dxa" w:w="1728"/>
          </w:tcPr>
          <w:p>
            <w:r>
              <w:rPr>
                <w:rFonts w:ascii="Calibri" w:hAnsi="Calibri"/>
                <w:sz w:val="22"/>
              </w:rPr>
              <w:t>$550–$600M ($575M mid)</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~30% decline vs. 2025 guidance midpoint; normalized to ~25% of EBITDA</w:t>
            </w:r>
          </w:p>
        </w:tc>
      </w:tr>
      <w:tr>
        <w:tc>
          <w:tcPr>
            <w:tcW w:type="dxa" w:w="1728"/>
          </w:tcPr>
          <w:p>
            <w:r>
              <w:rPr>
                <w:rFonts w:ascii="Calibri" w:hAnsi="Calibri"/>
                <w:sz w:val="22"/>
              </w:rPr>
              <w:t>Lhoist North America Acquisition</w:t>
            </w:r>
          </w:p>
        </w:tc>
        <w:tc>
          <w:tcPr>
            <w:tcW w:type="dxa" w:w="1728"/>
          </w:tcPr>
          <w:p>
            <w:r>
              <w:rPr>
                <w:rFonts w:ascii="Calibri" w:hAnsi="Calibri"/>
                <w:sz w:val="22"/>
              </w:rPr>
              <w:t>Not announced at Q1 call</w:t>
            </w:r>
          </w:p>
        </w:tc>
        <w:tc>
          <w:tcPr>
            <w:tcW w:type="dxa" w:w="1728"/>
          </w:tcPr>
          <w:p>
            <w:r>
              <w:rPr>
                <w:rFonts w:ascii="Calibri" w:hAnsi="Calibri"/>
                <w:sz w:val="22"/>
              </w:rPr>
              <w:t>Announced June 29, 2026: $13.5B in cash + stock; $1.5B term loan secured July 15</w:t>
            </w:r>
          </w:p>
        </w:tc>
        <w:tc>
          <w:tcPr>
            <w:tcW w:type="dxa" w:w="1728"/>
          </w:tcPr>
          <w:p>
            <w:r>
              <w:rPr>
                <w:rFonts w:ascii="Calibri" w:hAnsi="Calibri"/>
                <w:sz w:val="22"/>
              </w:rPr>
              <w:t>N/A</w:t>
            </w:r>
          </w:p>
        </w:tc>
        <w:tc>
          <w:tcPr>
            <w:tcW w:type="dxa" w:w="1728"/>
          </w:tcPr>
          <w:p>
            <w:r>
              <w:rPr>
                <w:rFonts w:ascii="Calibri" w:hAnsi="Calibri"/>
                <w:sz w:val="22"/>
              </w:rPr>
              <w:t>↑ Major new development post-Q1; leverage covenant allows up to 4.75x for first 3 quarters post-close; no formal guidance update issued</w:t>
            </w:r>
          </w:p>
        </w:tc>
      </w:tr>
    </w:tbl>
    <w:p>
      <w:r>
        <w:rPr>
          <w:rFonts w:ascii="Calibri" w:hAnsi="Calibri"/>
          <w:b/>
          <w:color w:val="525866"/>
          <w:sz w:val="22"/>
        </w:rPr>
        <w:t xml:space="preserve">Source: </w:t>
      </w:r>
      <w:r>
        <w:rPr>
          <w:rFonts w:ascii="Calibri" w:hAnsi="Calibri"/>
          <w:color w:val="525866"/>
          <w:sz w:val="22"/>
        </w:rPr>
        <w:t>MLM Q1 2026 Earnings Release (April 30, 2026); MLM Q1 2026 Earnings Call Transcript (April 30, 2026); MLM 8-K filed June 29, 2026 (Lhoist announcement); MLM 8-K filed July 15, 2026 (financing). Guidance reflects continuing operations only, inclusive of Quikrete contributions (closed Feb 23, 2026), but excludes New Frontier Materials (expected to close H2 2026).</w:t>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drifted ~3% lower since the Q1 print on diesel cost concerns and geographic mix uncertainty, while full-year estimates are essentially flat — suggesting the street has de-risked the near-term quarter but maintained confidence in the full-year EBITDA guide, which itself sits ~$19M below the guidance midpoint, implying modest upside if management raises at mid-year review.</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(Q2 2026)</w:t>
            </w:r>
          </w:p>
        </w:tc>
        <w:tc>
          <w:tcPr>
            <w:tcW w:type="dxa" w:w="1080"/>
          </w:tcPr>
          <w:p>
            <w:r>
              <w:rPr>
                <w:rFonts w:ascii="Calibri" w:hAnsi="Calibri"/>
                <w:sz w:val="22"/>
              </w:rPr>
              <w:t>$1,847M</w:t>
            </w:r>
          </w:p>
        </w:tc>
        <w:tc>
          <w:tcPr>
            <w:tcW w:type="dxa" w:w="1080"/>
          </w:tcPr>
          <w:p>
            <w:r>
              <w:rPr>
                <w:rFonts w:ascii="Calibri" w:hAnsi="Calibri"/>
                <w:sz w:val="22"/>
              </w:rPr>
              <w:t>$1,837M</w:t>
            </w:r>
          </w:p>
        </w:tc>
        <w:tc>
          <w:tcPr>
            <w:tcW w:type="dxa" w:w="1080"/>
          </w:tcPr>
          <w:p>
            <w:r>
              <w:rPr>
                <w:rFonts w:ascii="Calibri" w:hAnsi="Calibri"/>
                <w:sz w:val="22"/>
              </w:rPr>
              <w:t>-0.5%</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w:t>
            </w:r>
          </w:p>
        </w:tc>
      </w:tr>
      <w:tr>
        <w:tc>
          <w:tcPr>
            <w:tcW w:type="dxa" w:w="1080"/>
          </w:tcPr>
          <w:p>
            <w:r>
              <w:rPr>
                <w:rFonts w:ascii="Calibri" w:hAnsi="Calibri"/>
                <w:sz w:val="22"/>
              </w:rPr>
              <w:t>Adj. EBITDA (Q2 2026)</w:t>
            </w:r>
          </w:p>
        </w:tc>
        <w:tc>
          <w:tcPr>
            <w:tcW w:type="dxa" w:w="1080"/>
          </w:tcPr>
          <w:p>
            <w:r>
              <w:rPr>
                <w:rFonts w:ascii="Calibri" w:hAnsi="Calibri"/>
                <w:sz w:val="22"/>
              </w:rPr>
              <w:t>$640M</w:t>
            </w:r>
          </w:p>
        </w:tc>
        <w:tc>
          <w:tcPr>
            <w:tcW w:type="dxa" w:w="1080"/>
          </w:tcPr>
          <w:p>
            <w:r>
              <w:rPr>
                <w:rFonts w:ascii="Calibri" w:hAnsi="Calibri"/>
                <w:sz w:val="22"/>
              </w:rPr>
              <w:t>$626M</w:t>
            </w:r>
          </w:p>
        </w:tc>
        <w:tc>
          <w:tcPr>
            <w:tcW w:type="dxa" w:w="1080"/>
          </w:tcPr>
          <w:p>
            <w:r>
              <w:rPr>
                <w:rFonts w:ascii="Calibri" w:hAnsi="Calibri"/>
                <w:b/>
                <w:color w:val="E5484D"/>
                <w:sz w:val="22"/>
              </w:rPr>
              <w:t>-2.2%</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w:t>
            </w:r>
          </w:p>
        </w:tc>
      </w:tr>
      <w:tr>
        <w:tc>
          <w:tcPr>
            <w:tcW w:type="dxa" w:w="1080"/>
          </w:tcPr>
          <w:p>
            <w:r>
              <w:rPr>
                <w:rFonts w:ascii="Calibri" w:hAnsi="Calibri"/>
                <w:sz w:val="22"/>
              </w:rPr>
              <w:t>Diluted Operating EPS (Q2 2026)</w:t>
            </w:r>
          </w:p>
        </w:tc>
        <w:tc>
          <w:tcPr>
            <w:tcW w:type="dxa" w:w="1080"/>
          </w:tcPr>
          <w:p>
            <w:r>
              <w:rPr>
                <w:rFonts w:ascii="Calibri" w:hAnsi="Calibri"/>
                <w:sz w:val="22"/>
              </w:rPr>
              <w:t>$5.11</w:t>
            </w:r>
          </w:p>
        </w:tc>
        <w:tc>
          <w:tcPr>
            <w:tcW w:type="dxa" w:w="1080"/>
          </w:tcPr>
          <w:p>
            <w:r>
              <w:rPr>
                <w:rFonts w:ascii="Calibri" w:hAnsi="Calibri"/>
                <w:sz w:val="22"/>
              </w:rPr>
              <w:t>$4.94</w:t>
            </w:r>
          </w:p>
        </w:tc>
        <w:tc>
          <w:tcPr>
            <w:tcW w:type="dxa" w:w="1080"/>
          </w:tcPr>
          <w:p>
            <w:r>
              <w:rPr>
                <w:rFonts w:ascii="Calibri" w:hAnsi="Calibri"/>
                <w:b/>
                <w:color w:val="E5484D"/>
                <w:sz w:val="22"/>
              </w:rPr>
              <w:t>-3.3%</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w:t>
            </w:r>
          </w:p>
        </w:tc>
      </w:tr>
      <w:tr>
        <w:tc>
          <w:tcPr>
            <w:tcW w:type="dxa" w:w="1080"/>
          </w:tcPr>
          <w:p>
            <w:r>
              <w:rPr>
                <w:rFonts w:ascii="Calibri" w:hAnsi="Calibri"/>
                <w:sz w:val="22"/>
              </w:rPr>
              <w:t>Aggregates Volume (Q2 2026, M tons)</w:t>
            </w:r>
          </w:p>
        </w:tc>
        <w:tc>
          <w:tcPr>
            <w:tcW w:type="dxa" w:w="1080"/>
          </w:tcPr>
          <w:p>
            <w:r>
              <w:rPr>
                <w:rFonts w:ascii="Calibri" w:hAnsi="Calibri"/>
                <w:sz w:val="22"/>
              </w:rPr>
              <w:t>60.2M</w:t>
            </w:r>
          </w:p>
        </w:tc>
        <w:tc>
          <w:tcPr>
            <w:tcW w:type="dxa" w:w="1080"/>
          </w:tcPr>
          <w:p>
            <w:r>
              <w:rPr>
                <w:rFonts w:ascii="Calibri" w:hAnsi="Calibri"/>
                <w:sz w:val="22"/>
              </w:rPr>
              <w:t>59.6M</w:t>
            </w:r>
          </w:p>
        </w:tc>
        <w:tc>
          <w:tcPr>
            <w:tcW w:type="dxa" w:w="1080"/>
          </w:tcPr>
          <w:p>
            <w:r>
              <w:rPr>
                <w:rFonts w:ascii="Calibri" w:hAnsi="Calibri"/>
                <w:sz w:val="22"/>
              </w:rPr>
              <w:t>-1.0%</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w:t>
            </w:r>
          </w:p>
        </w:tc>
      </w:tr>
      <w:tr>
        <w:tc>
          <w:tcPr>
            <w:tcW w:type="dxa" w:w="1080"/>
          </w:tcPr>
          <w:p>
            <w:r>
              <w:rPr>
                <w:rFonts w:ascii="Calibri" w:hAnsi="Calibri"/>
                <w:sz w:val="22"/>
              </w:rPr>
              <w:t>Total Revenue (FY 2026)</w:t>
            </w:r>
          </w:p>
        </w:tc>
        <w:tc>
          <w:tcPr>
            <w:tcW w:type="dxa" w:w="1080"/>
          </w:tcPr>
          <w:p>
            <w:r>
              <w:rPr>
                <w:rFonts w:ascii="Calibri" w:hAnsi="Calibri"/>
                <w:sz w:val="22"/>
              </w:rPr>
              <w:t>$7,124M</w:t>
            </w:r>
          </w:p>
        </w:tc>
        <w:tc>
          <w:tcPr>
            <w:tcW w:type="dxa" w:w="1080"/>
          </w:tcPr>
          <w:p>
            <w:r>
              <w:rPr>
                <w:rFonts w:ascii="Calibri" w:hAnsi="Calibri"/>
                <w:sz w:val="22"/>
              </w:rPr>
              <w:t>$7,142M</w:t>
            </w:r>
          </w:p>
        </w:tc>
        <w:tc>
          <w:tcPr>
            <w:tcW w:type="dxa" w:w="1080"/>
          </w:tcPr>
          <w:p>
            <w:r>
              <w:rPr>
                <w:rFonts w:ascii="Calibri" w:hAnsi="Calibri"/>
                <w:b/>
                <w:color w:val="30A46C"/>
                <w:sz w:val="22"/>
              </w:rPr>
              <w:t>+0.3%</w:t>
            </w:r>
          </w:p>
        </w:tc>
        <w:tc>
          <w:tcPr>
            <w:tcW w:type="dxa" w:w="1080"/>
          </w:tcPr>
          <w:p>
            <w:r>
              <w:rPr>
                <w:rFonts w:ascii="Calibri" w:hAnsi="Calibri"/>
                <w:sz w:val="22"/>
              </w:rPr>
              <w:t>$7,000–$7,320M ($7,160M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mid</w:t>
            </w:r>
          </w:p>
        </w:tc>
      </w:tr>
      <w:tr>
        <w:tc>
          <w:tcPr>
            <w:tcW w:type="dxa" w:w="1080"/>
          </w:tcPr>
          <w:p>
            <w:r>
              <w:rPr>
                <w:rFonts w:ascii="Calibri" w:hAnsi="Calibri"/>
                <w:sz w:val="22"/>
              </w:rPr>
              <w:t>Adj. EBITDA (FY 2026)</w:t>
            </w:r>
          </w:p>
        </w:tc>
        <w:tc>
          <w:tcPr>
            <w:tcW w:type="dxa" w:w="1080"/>
          </w:tcPr>
          <w:p>
            <w:r>
              <w:rPr>
                <w:rFonts w:ascii="Calibri" w:hAnsi="Calibri"/>
                <w:sz w:val="22"/>
              </w:rPr>
              <w:t>$2,414M</w:t>
            </w:r>
          </w:p>
        </w:tc>
        <w:tc>
          <w:tcPr>
            <w:tcW w:type="dxa" w:w="1080"/>
          </w:tcPr>
          <w:p>
            <w:r>
              <w:rPr>
                <w:rFonts w:ascii="Calibri" w:hAnsi="Calibri"/>
                <w:sz w:val="22"/>
              </w:rPr>
              <w:t>$2,411M</w:t>
            </w:r>
          </w:p>
        </w:tc>
        <w:tc>
          <w:tcPr>
            <w:tcW w:type="dxa" w:w="1080"/>
          </w:tcPr>
          <w:p>
            <w:r>
              <w:rPr>
                <w:rFonts w:ascii="Calibri" w:hAnsi="Calibri"/>
                <w:sz w:val="22"/>
              </w:rPr>
              <w:t>-0.1%</w:t>
            </w:r>
          </w:p>
        </w:tc>
        <w:tc>
          <w:tcPr>
            <w:tcW w:type="dxa" w:w="1080"/>
          </w:tcPr>
          <w:p>
            <w:r>
              <w:rPr>
                <w:rFonts w:ascii="Calibri" w:hAnsi="Calibri"/>
                <w:sz w:val="22"/>
              </w:rPr>
              <w:t>$2,360–$2,500M ($2,430M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vs. mid</w:t>
            </w:r>
          </w:p>
        </w:tc>
      </w:tr>
      <w:tr>
        <w:tc>
          <w:tcPr>
            <w:tcW w:type="dxa" w:w="1080"/>
          </w:tcPr>
          <w:p>
            <w:r>
              <w:rPr>
                <w:rFonts w:ascii="Calibri" w:hAnsi="Calibri"/>
                <w:sz w:val="22"/>
              </w:rPr>
              <w:t>Diluted Operating EPS (FY 2026)</w:t>
            </w:r>
          </w:p>
        </w:tc>
        <w:tc>
          <w:tcPr>
            <w:tcW w:type="dxa" w:w="1080"/>
          </w:tcPr>
          <w:p>
            <w:r>
              <w:rPr>
                <w:rFonts w:ascii="Calibri" w:hAnsi="Calibri"/>
                <w:sz w:val="22"/>
              </w:rPr>
              <w:t>$19.23</w:t>
            </w:r>
          </w:p>
        </w:tc>
        <w:tc>
          <w:tcPr>
            <w:tcW w:type="dxa" w:w="1080"/>
          </w:tcPr>
          <w:p>
            <w:r>
              <w:rPr>
                <w:rFonts w:ascii="Calibri" w:hAnsi="Calibri"/>
                <w:sz w:val="22"/>
              </w:rPr>
              <w:t>$19.31</w:t>
            </w:r>
          </w:p>
        </w:tc>
        <w:tc>
          <w:tcPr>
            <w:tcW w:type="dxa" w:w="1080"/>
          </w:tcPr>
          <w:p>
            <w:r>
              <w:rPr>
                <w:rFonts w:ascii="Calibri" w:hAnsi="Calibri"/>
                <w:sz w:val="22"/>
              </w:rPr>
              <w:t>+0.4%</w:t>
            </w:r>
          </w:p>
        </w:tc>
        <w:tc>
          <w:tcPr>
            <w:tcW w:type="dxa" w:w="1080"/>
          </w:tcPr>
          <w:p>
            <w:r>
              <w:rPr>
                <w:rFonts w:ascii="Calibri" w:hAnsi="Calibri"/>
                <w:sz w:val="22"/>
              </w:rPr>
              <w:t>N/A (no EPS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w:t>
            </w:r>
          </w:p>
        </w:tc>
      </w:tr>
    </w:tbl>
    <w:p>
      <w:r>
        <w:rPr>
          <w:rFonts w:ascii="Calibri" w:hAnsi="Calibri"/>
          <w:b/>
          <w:color w:val="525866"/>
          <w:sz w:val="22"/>
        </w:rPr>
        <w:t xml:space="preserve">Commentary: </w:t>
      </w:r>
      <w:r>
        <w:rPr>
          <w:rFonts w:ascii="Calibri" w:hAnsi="Calibri"/>
          <w:color w:val="525866"/>
          <w:sz w:val="22"/>
        </w:rPr>
        <w:t>The ~3% downward revision to Q2 EBITDA and EPS since the Q1 print reflects the market pricing in diesel headwinds ($20–25M expected in Q2) and the $44M inventory markup gross profit drag. Full-year estimates are essentially flat, consistent with management’s reaffirmed guidance — the gap between consensus ($2,411M) and the guidance midpoint ($2,430M) represents a modest ~$19M cushion that management could close by raising guidance at the mid-year review if mid-year pricing and network optimization deliver as signaled.</w:t>
      </w:r>
    </w:p>
    <w:p>
      <w:r>
        <w:rPr>
          <w:rFonts w:ascii="Calibri" w:hAnsi="Calibri"/>
          <w:b/>
          <w:color w:val="525866"/>
          <w:sz w:val="22"/>
        </w:rPr>
        <w:t xml:space="preserve">Source: </w:t>
      </w:r>
      <w:r>
        <w:rPr>
          <w:rFonts w:ascii="Calibri" w:hAnsi="Calibri"/>
          <w:color w:val="525866"/>
          <w:sz w:val="22"/>
        </w:rPr>
        <w:t>Visible Alpha Consensus and Actuals Data (https://insights.visiblealpha.com/mex/MLM_US/NMV/IS, /SG, /RV). Baseline estimates as of May 7, 2026 (~5 trading days post Q1 earnings on April 30, 2026). Current estimates as of July 29, 2026. Guidance from MLM Q1 2026 Earnings Release and Earnings Call Transcript (April 30,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MLM has underperformed both XLB and the S&amp;P 500 since the April 30 Q1 earnings date, with the stock down ~8% vs. XLB roughly flat and SPY +2% — the underperformance is almost entirely multiple compression (EV/EBITDA contracted from ~16.75x to ~15.5x) driven by the Lhoist acquisition announcement on June 29, which triggered a sharp sell-off on leverage and dilution concerns, not by deteriorating earnings estimates.</w:t>
      </w:r>
    </w:p>
    <w:p>
      <w:r>
        <w:rPr>
          <w:rFonts w:ascii="Calibri" w:hAnsi="Calibri"/>
          <w:b/>
          <w:color w:val="525866"/>
          <w:sz w:val="22"/>
        </w:rPr>
        <w:t>Chart: MLM vs. XLB vs. S&amp;P 500 — Indexed Performance Since April 30, 2026 (Last Earnings Date)</w:t>
      </w:r>
    </w:p>
    <w:p>
      <w:r>
        <w:rPr>
          <w:rFonts w:ascii="Calibri" w:hAnsi="Calibri"/>
          <w:color w:val="525866"/>
          <w:sz w:val="22"/>
        </w:rPr>
        <w:t>The chart below shows indexed price performance (base = 100 at April 30, 2026 close) for MLM (dark navy), XLB Materials ETF (mid-grey dashed), and S&amp;P 500 / SPY (light grey dashed). Key events are annotated with vertical markers.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MLM Close ($)</w:t>
            </w:r>
          </w:p>
        </w:tc>
        <w:tc>
          <w:tcPr>
            <w:tcW w:type="dxa" w:w="1440"/>
            <w:shd w:val="clear" w:color="auto" w:fill="3B4259"/>
          </w:tcPr>
          <w:p>
            <w:r>
              <w:rPr>
                <w:rFonts w:ascii="Calibri" w:hAnsi="Calibri"/>
                <w:b/>
                <w:color w:val="FFFFFF"/>
                <w:sz w:val="22"/>
              </w:rPr>
              <w:t>MLM Indexed</w:t>
            </w:r>
          </w:p>
        </w:tc>
        <w:tc>
          <w:tcPr>
            <w:tcW w:type="dxa" w:w="1440"/>
            <w:shd w:val="clear" w:color="auto" w:fill="3B4259"/>
          </w:tcPr>
          <w:p>
            <w:r>
              <w:rPr>
                <w:rFonts w:ascii="Calibri" w:hAnsi="Calibri"/>
                <w:b/>
                <w:color w:val="FFFFFF"/>
                <w:sz w:val="22"/>
              </w:rPr>
              <w:t>XLB Indexed</w:t>
            </w:r>
          </w:p>
        </w:tc>
        <w:tc>
          <w:tcPr>
            <w:tcW w:type="dxa" w:w="1440"/>
            <w:shd w:val="clear" w:color="auto" w:fill="3B4259"/>
          </w:tcPr>
          <w:p>
            <w:r>
              <w:rPr>
                <w:rFonts w:ascii="Calibri" w:hAnsi="Calibri"/>
                <w:b/>
                <w:color w:val="FFFFFF"/>
                <w:sz w:val="22"/>
              </w:rPr>
              <w:t>SPY Indexed</w:t>
            </w:r>
          </w:p>
        </w:tc>
        <w:tc>
          <w:tcPr>
            <w:tcW w:type="dxa" w:w="1440"/>
            <w:shd w:val="clear" w:color="auto" w:fill="3B4259"/>
          </w:tcPr>
          <w:p>
            <w:r>
              <w:rPr>
                <w:rFonts w:ascii="Calibri" w:hAnsi="Calibri"/>
                <w:b/>
                <w:color w:val="FFFFFF"/>
                <w:sz w:val="22"/>
              </w:rPr>
              <w:t>Key Event</w:t>
            </w:r>
          </w:p>
        </w:tc>
      </w:tr>
      <w:tr>
        <w:tc>
          <w:tcPr>
            <w:tcW w:type="dxa" w:w="1440"/>
          </w:tcPr>
          <w:p>
            <w:r>
              <w:rPr>
                <w:rFonts w:ascii="Calibri" w:hAnsi="Calibri"/>
                <w:sz w:val="22"/>
              </w:rPr>
              <w:t>Apr 30, 2026</w:t>
            </w:r>
          </w:p>
        </w:tc>
        <w:tc>
          <w:tcPr>
            <w:tcW w:type="dxa" w:w="1440"/>
          </w:tcPr>
          <w:p>
            <w:r>
              <w:rPr>
                <w:rFonts w:ascii="Calibri" w:hAnsi="Calibri"/>
                <w:sz w:val="22"/>
              </w:rPr>
              <w:t>$619.07</w:t>
            </w:r>
          </w:p>
        </w:tc>
        <w:tc>
          <w:tcPr>
            <w:tcW w:type="dxa" w:w="1440"/>
          </w:tcPr>
          <w:p>
            <w:r>
              <w:rPr>
                <w:rFonts w:ascii="Calibri" w:hAnsi="Calibri"/>
                <w:sz w:val="22"/>
              </w:rPr>
              <w:t>100.0</w:t>
            </w:r>
          </w:p>
        </w:tc>
        <w:tc>
          <w:tcPr>
            <w:tcW w:type="dxa" w:w="1440"/>
          </w:tcPr>
          <w:p>
            <w:r>
              <w:rPr>
                <w:rFonts w:ascii="Calibri" w:hAnsi="Calibri"/>
                <w:sz w:val="22"/>
              </w:rPr>
              <w:t>100.0</w:t>
            </w:r>
          </w:p>
        </w:tc>
        <w:tc>
          <w:tcPr>
            <w:tcW w:type="dxa" w:w="1440"/>
          </w:tcPr>
          <w:p>
            <w:r>
              <w:rPr>
                <w:rFonts w:ascii="Calibri" w:hAnsi="Calibri"/>
                <w:sz w:val="22"/>
              </w:rPr>
              <w:t>100.0</w:t>
            </w:r>
          </w:p>
        </w:tc>
        <w:tc>
          <w:tcPr>
            <w:tcW w:type="dxa" w:w="1440"/>
          </w:tcPr>
          <w:p>
            <w:r>
              <w:rPr>
                <w:rFonts w:ascii="Calibri" w:hAnsi="Calibri"/>
                <w:sz w:val="22"/>
              </w:rPr>
              <w:t>Q1 2026 Earnings (base)</w:t>
            </w:r>
          </w:p>
        </w:tc>
      </w:tr>
      <w:tr>
        <w:tc>
          <w:tcPr>
            <w:tcW w:type="dxa" w:w="1440"/>
          </w:tcPr>
          <w:p>
            <w:r>
              <w:rPr>
                <w:rFonts w:ascii="Calibri" w:hAnsi="Calibri"/>
                <w:sz w:val="22"/>
              </w:rPr>
              <w:t>May 15, 2026</w:t>
            </w:r>
          </w:p>
        </w:tc>
        <w:tc>
          <w:tcPr>
            <w:tcW w:type="dxa" w:w="1440"/>
          </w:tcPr>
          <w:p>
            <w:r>
              <w:rPr>
                <w:rFonts w:ascii="Calibri" w:hAnsi="Calibri"/>
                <w:sz w:val="22"/>
              </w:rPr>
              <w:t>$558.66</w:t>
            </w:r>
          </w:p>
        </w:tc>
        <w:tc>
          <w:tcPr>
            <w:tcW w:type="dxa" w:w="1440"/>
          </w:tcPr>
          <w:p>
            <w:r>
              <w:rPr>
                <w:rFonts w:ascii="Calibri" w:hAnsi="Calibri"/>
                <w:sz w:val="22"/>
              </w:rPr>
              <w:t>90.2</w:t>
            </w:r>
          </w:p>
        </w:tc>
        <w:tc>
          <w:tcPr>
            <w:tcW w:type="dxa" w:w="1440"/>
          </w:tcPr>
          <w:p>
            <w:r>
              <w:rPr>
                <w:rFonts w:ascii="Calibri" w:hAnsi="Calibri"/>
                <w:sz w:val="22"/>
              </w:rPr>
              <w:t>97.7</w:t>
            </w:r>
          </w:p>
        </w:tc>
        <w:tc>
          <w:tcPr>
            <w:tcW w:type="dxa" w:w="1440"/>
          </w:tcPr>
          <w:p>
            <w:r>
              <w:rPr>
                <w:rFonts w:ascii="Calibri" w:hAnsi="Calibri"/>
                <w:sz w:val="22"/>
              </w:rPr>
              <w:t>102.9</w:t>
            </w:r>
          </w:p>
        </w:tc>
        <w:tc>
          <w:tcPr>
            <w:tcW w:type="dxa" w:w="1440"/>
          </w:tcPr>
          <w:p>
            <w:r>
              <w:rPr>
                <w:rFonts w:ascii="Calibri" w:hAnsi="Calibri"/>
                <w:sz w:val="22"/>
              </w:rPr>
              <w:t>Shareholder vote on stock plan (8-K May 14)</w:t>
            </w:r>
          </w:p>
        </w:tc>
      </w:tr>
      <w:tr>
        <w:tc>
          <w:tcPr>
            <w:tcW w:type="dxa" w:w="1440"/>
          </w:tcPr>
          <w:p>
            <w:r>
              <w:rPr>
                <w:rFonts w:ascii="Calibri" w:hAnsi="Calibri"/>
                <w:sz w:val="22"/>
              </w:rPr>
              <w:t>May 29, 2026</w:t>
            </w:r>
          </w:p>
        </w:tc>
        <w:tc>
          <w:tcPr>
            <w:tcW w:type="dxa" w:w="1440"/>
          </w:tcPr>
          <w:p>
            <w:r>
              <w:rPr>
                <w:rFonts w:ascii="Calibri" w:hAnsi="Calibri"/>
                <w:sz w:val="22"/>
              </w:rPr>
              <w:t>$581.64</w:t>
            </w:r>
          </w:p>
        </w:tc>
        <w:tc>
          <w:tcPr>
            <w:tcW w:type="dxa" w:w="1440"/>
          </w:tcPr>
          <w:p>
            <w:r>
              <w:rPr>
                <w:rFonts w:ascii="Calibri" w:hAnsi="Calibri"/>
                <w:sz w:val="22"/>
              </w:rPr>
              <w:t>93.9</w:t>
            </w:r>
          </w:p>
        </w:tc>
        <w:tc>
          <w:tcPr>
            <w:tcW w:type="dxa" w:w="1440"/>
          </w:tcPr>
          <w:p>
            <w:r>
              <w:rPr>
                <w:rFonts w:ascii="Calibri" w:hAnsi="Calibri"/>
                <w:sz w:val="22"/>
              </w:rPr>
              <w:t>99.4</w:t>
            </w:r>
          </w:p>
        </w:tc>
        <w:tc>
          <w:tcPr>
            <w:tcW w:type="dxa" w:w="1440"/>
          </w:tcPr>
          <w:p>
            <w:r>
              <w:rPr>
                <w:rFonts w:ascii="Calibri" w:hAnsi="Calibri"/>
                <w:sz w:val="22"/>
              </w:rPr>
              <w:t>105.3</w:t>
            </w:r>
          </w:p>
        </w:tc>
        <w:tc>
          <w:tcPr>
            <w:tcW w:type="dxa" w:w="1440"/>
          </w:tcPr>
          <w:p>
            <w:r>
              <w:rPr>
                <w:rFonts w:ascii="Calibri" w:hAnsi="Calibri"/>
                <w:sz w:val="22"/>
              </w:rPr>
              <w:t>—</w:t>
            </w:r>
          </w:p>
        </w:tc>
      </w:tr>
      <w:tr>
        <w:tc>
          <w:tcPr>
            <w:tcW w:type="dxa" w:w="1440"/>
          </w:tcPr>
          <w:p>
            <w:r>
              <w:rPr>
                <w:rFonts w:ascii="Calibri" w:hAnsi="Calibri"/>
                <w:sz w:val="22"/>
              </w:rPr>
              <w:t>Jun 25, 2026</w:t>
            </w:r>
          </w:p>
        </w:tc>
        <w:tc>
          <w:tcPr>
            <w:tcW w:type="dxa" w:w="1440"/>
          </w:tcPr>
          <w:p>
            <w:r>
              <w:rPr>
                <w:rFonts w:ascii="Calibri" w:hAnsi="Calibri"/>
                <w:sz w:val="22"/>
              </w:rPr>
              <w:t>$628.94</w:t>
            </w:r>
          </w:p>
        </w:tc>
        <w:tc>
          <w:tcPr>
            <w:tcW w:type="dxa" w:w="1440"/>
          </w:tcPr>
          <w:p>
            <w:r>
              <w:rPr>
                <w:rFonts w:ascii="Calibri" w:hAnsi="Calibri"/>
                <w:sz w:val="22"/>
              </w:rPr>
              <w:t>101.6</w:t>
            </w:r>
          </w:p>
        </w:tc>
        <w:tc>
          <w:tcPr>
            <w:tcW w:type="dxa" w:w="1440"/>
          </w:tcPr>
          <w:p>
            <w:r>
              <w:rPr>
                <w:rFonts w:ascii="Calibri" w:hAnsi="Calibri"/>
                <w:sz w:val="22"/>
              </w:rPr>
              <w:t>100.7</w:t>
            </w:r>
          </w:p>
        </w:tc>
        <w:tc>
          <w:tcPr>
            <w:tcW w:type="dxa" w:w="1440"/>
          </w:tcPr>
          <w:p>
            <w:r>
              <w:rPr>
                <w:rFonts w:ascii="Calibri" w:hAnsi="Calibri"/>
                <w:sz w:val="22"/>
              </w:rPr>
              <w:t>102.2</w:t>
            </w:r>
          </w:p>
        </w:tc>
        <w:tc>
          <w:tcPr>
            <w:tcW w:type="dxa" w:w="1440"/>
          </w:tcPr>
          <w:p>
            <w:r>
              <w:rPr>
                <w:rFonts w:ascii="Calibri" w:hAnsi="Calibri"/>
                <w:sz w:val="22"/>
              </w:rPr>
              <w:t>Pre-Lhoist peak</w:t>
            </w:r>
          </w:p>
        </w:tc>
      </w:tr>
      <w:tr>
        <w:tc>
          <w:tcPr>
            <w:tcW w:type="dxa" w:w="1440"/>
          </w:tcPr>
          <w:p>
            <w:r>
              <w:rPr>
                <w:rFonts w:ascii="Calibri" w:hAnsi="Calibri"/>
                <w:sz w:val="22"/>
              </w:rPr>
              <w:t>Jun 29, 2026</w:t>
            </w:r>
          </w:p>
        </w:tc>
        <w:tc>
          <w:tcPr>
            <w:tcW w:type="dxa" w:w="1440"/>
          </w:tcPr>
          <w:p>
            <w:r>
              <w:rPr>
                <w:rFonts w:ascii="Calibri" w:hAnsi="Calibri"/>
                <w:sz w:val="22"/>
              </w:rPr>
              <w:t>$581.23</w:t>
            </w:r>
          </w:p>
        </w:tc>
        <w:tc>
          <w:tcPr>
            <w:tcW w:type="dxa" w:w="1440"/>
          </w:tcPr>
          <w:p>
            <w:r>
              <w:rPr>
                <w:rFonts w:ascii="Calibri" w:hAnsi="Calibri"/>
                <w:sz w:val="22"/>
              </w:rPr>
              <w:t>93.9</w:t>
            </w:r>
          </w:p>
        </w:tc>
        <w:tc>
          <w:tcPr>
            <w:tcW w:type="dxa" w:w="1440"/>
          </w:tcPr>
          <w:p>
            <w:r>
              <w:rPr>
                <w:rFonts w:ascii="Calibri" w:hAnsi="Calibri"/>
                <w:sz w:val="22"/>
              </w:rPr>
              <w:t>98.4</w:t>
            </w:r>
          </w:p>
        </w:tc>
        <w:tc>
          <w:tcPr>
            <w:tcW w:type="dxa" w:w="1440"/>
          </w:tcPr>
          <w:p>
            <w:r>
              <w:rPr>
                <w:rFonts w:ascii="Calibri" w:hAnsi="Calibri"/>
                <w:sz w:val="22"/>
              </w:rPr>
              <w:t>103.1</w:t>
            </w:r>
          </w:p>
        </w:tc>
        <w:tc>
          <w:tcPr>
            <w:tcW w:type="dxa" w:w="1440"/>
          </w:tcPr>
          <w:p>
            <w:r>
              <w:rPr>
                <w:rFonts w:ascii="Calibri" w:hAnsi="Calibri"/>
                <w:sz w:val="22"/>
              </w:rPr>
              <w:t>Lhoist $13.5B acquisition announced (8-K)</w:t>
            </w:r>
          </w:p>
        </w:tc>
      </w:tr>
      <w:tr>
        <w:tc>
          <w:tcPr>
            <w:tcW w:type="dxa" w:w="1440"/>
          </w:tcPr>
          <w:p>
            <w:r>
              <w:rPr>
                <w:rFonts w:ascii="Calibri" w:hAnsi="Calibri"/>
                <w:sz w:val="22"/>
              </w:rPr>
              <w:t>Jul 15, 2026</w:t>
            </w:r>
          </w:p>
        </w:tc>
        <w:tc>
          <w:tcPr>
            <w:tcW w:type="dxa" w:w="1440"/>
          </w:tcPr>
          <w:p>
            <w:r>
              <w:rPr>
                <w:rFonts w:ascii="Calibri" w:hAnsi="Calibri"/>
                <w:sz w:val="22"/>
              </w:rPr>
              <w:t>$569.32</w:t>
            </w:r>
          </w:p>
        </w:tc>
        <w:tc>
          <w:tcPr>
            <w:tcW w:type="dxa" w:w="1440"/>
          </w:tcPr>
          <w:p>
            <w:r>
              <w:rPr>
                <w:rFonts w:ascii="Calibri" w:hAnsi="Calibri"/>
                <w:sz w:val="22"/>
              </w:rPr>
              <w:t>91.9</w:t>
            </w:r>
          </w:p>
        </w:tc>
        <w:tc>
          <w:tcPr>
            <w:tcW w:type="dxa" w:w="1440"/>
          </w:tcPr>
          <w:p>
            <w:r>
              <w:rPr>
                <w:rFonts w:ascii="Calibri" w:hAnsi="Calibri"/>
                <w:sz w:val="22"/>
              </w:rPr>
              <w:t>98.1</w:t>
            </w:r>
          </w:p>
        </w:tc>
        <w:tc>
          <w:tcPr>
            <w:tcW w:type="dxa" w:w="1440"/>
          </w:tcPr>
          <w:p>
            <w:r>
              <w:rPr>
                <w:rFonts w:ascii="Calibri" w:hAnsi="Calibri"/>
                <w:sz w:val="22"/>
              </w:rPr>
              <w:t>105.0</w:t>
            </w:r>
          </w:p>
        </w:tc>
        <w:tc>
          <w:tcPr>
            <w:tcW w:type="dxa" w:w="1440"/>
          </w:tcPr>
          <w:p>
            <w:r>
              <w:rPr>
                <w:rFonts w:ascii="Calibri" w:hAnsi="Calibri"/>
                <w:sz w:val="22"/>
              </w:rPr>
              <w:t>$1.5B term loan secured; revolving credit amended (8-K)</w:t>
            </w:r>
          </w:p>
        </w:tc>
      </w:tr>
      <w:tr>
        <w:tc>
          <w:tcPr>
            <w:tcW w:type="dxa" w:w="1440"/>
          </w:tcPr>
          <w:p>
            <w:r>
              <w:rPr>
                <w:rFonts w:ascii="Calibri" w:hAnsi="Calibri"/>
                <w:sz w:val="22"/>
              </w:rPr>
              <w:t>Jul 28, 2026</w:t>
            </w:r>
          </w:p>
        </w:tc>
        <w:tc>
          <w:tcPr>
            <w:tcW w:type="dxa" w:w="1440"/>
          </w:tcPr>
          <w:p>
            <w:r>
              <w:rPr>
                <w:rFonts w:ascii="Calibri" w:hAnsi="Calibri"/>
                <w:sz w:val="22"/>
              </w:rPr>
              <w:t>$583.67</w:t>
            </w:r>
          </w:p>
        </w:tc>
        <w:tc>
          <w:tcPr>
            <w:tcW w:type="dxa" w:w="1440"/>
          </w:tcPr>
          <w:p>
            <w:r>
              <w:rPr>
                <w:rFonts w:ascii="Calibri" w:hAnsi="Calibri"/>
                <w:sz w:val="22"/>
              </w:rPr>
              <w:t>94.3</w:t>
            </w:r>
          </w:p>
        </w:tc>
        <w:tc>
          <w:tcPr>
            <w:tcW w:type="dxa" w:w="1440"/>
          </w:tcPr>
          <w:p>
            <w:r>
              <w:rPr>
                <w:rFonts w:ascii="Calibri" w:hAnsi="Calibri"/>
                <w:sz w:val="22"/>
              </w:rPr>
              <w:t>101.7</w:t>
            </w:r>
          </w:p>
        </w:tc>
        <w:tc>
          <w:tcPr>
            <w:tcW w:type="dxa" w:w="1440"/>
          </w:tcPr>
          <w:p>
            <w:r>
              <w:rPr>
                <w:rFonts w:ascii="Calibri" w:hAnsi="Calibri"/>
                <w:sz w:val="22"/>
              </w:rPr>
              <w:t>103.1</w:t>
            </w:r>
          </w:p>
        </w:tc>
        <w:tc>
          <w:tcPr>
            <w:tcW w:type="dxa" w:w="1440"/>
          </w:tcPr>
          <w:p>
            <w:r>
              <w:rPr>
                <w:rFonts w:ascii="Calibri" w:hAnsi="Calibri"/>
                <w:sz w:val="22"/>
              </w:rPr>
              <w:t>Day before Q2 earnings</w:t>
            </w:r>
          </w:p>
        </w:tc>
      </w:tr>
    </w:tbl>
    <w:p>
      <w:r>
        <w:rPr>
          <w:rFonts w:ascii="Calibri" w:hAnsi="Calibri"/>
          <w:b/>
          <w:color w:val="525866"/>
          <w:sz w:val="22"/>
        </w:rPr>
        <w:t xml:space="preserve">Performance Summary (Apr 30 → Jul 28, 2026): </w:t>
      </w:r>
      <w:r>
        <w:rPr>
          <w:rFonts w:ascii="Calibri" w:hAnsi="Calibri"/>
          <w:color w:val="525866"/>
          <w:sz w:val="22"/>
        </w:rPr>
        <w:t>MLM: −6.0% | XLB: +1.7% | SPY: +3.1%. MLM significantly underperformed both benchmarks over the period. The stock briefly recovered to above its earnings-day close in mid-to-late June (peaking at $628.94 on June 25, +1.6% vs. base), before the Lhoist announcement on June 29 triggered a sharp ~7.5% single-day decline to $581.23. The stock has not recovered to pre-announcement levels, reflecting ongoing investor uncertainty about the $13.5B deal’s leverage implications and strategic fit. The underperformance is driven by multiple compression (NTM EV/EBITDA contracted from ~16.75x to ~15.5x over the period) rather than estimate cuts, as full-year EBITDA estimates are essentially flat.</w:t>
      </w:r>
    </w:p>
    <w:p>
      <w:r>
        <w:rPr>
          <w:rFonts w:ascii="Calibri" w:hAnsi="Calibri"/>
          <w:b/>
          <w:color w:val="525866"/>
          <w:sz w:val="22"/>
        </w:rPr>
        <w:t xml:space="preserve">Source: </w:t>
      </w:r>
      <w:r>
        <w:rPr>
          <w:rFonts w:ascii="Calibri" w:hAnsi="Calibri"/>
          <w:color w:val="525866"/>
          <w:sz w:val="22"/>
        </w:rPr>
        <w:t>Stock Price Data from Yahoo Finance. Indexed to 100 at April 30, 2026 close. XLB = Materials Select Sector SPDR ETF (appropriate benchmark for MLM’s aggregates/materials sub-sector). SPY = SPDR S&amp;P 500 ETF Trust.</w:t>
      </w:r>
    </w:p>
    <w:p>
      <w:r>
        <w:br w:type="page"/>
      </w:r>
    </w:p>
    <w:p>
      <w:pPr>
        <w:pStyle w:val="Heading1"/>
        <w:pBdr>
          <w:bottom w:val="single" w:sz="4" w:space="1" w:color="FB9120"/>
        </w:pBdr>
      </w:pPr>
      <w:r>
        <w:rPr>
          <w:rFonts w:ascii="Calibri" w:hAnsi="Calibri"/>
          <w:b/>
          <w:color w:val="3B4259"/>
          <w:sz w:val="40"/>
        </w:rPr>
        <w:t>6. Peer Commentaries — Current-Quarter Read-Through (Q2 2026)</w:t>
      </w:r>
    </w:p>
    <w:p>
      <w:r>
        <w:rPr>
          <w:rFonts w:ascii="Calibri" w:hAnsi="Calibri"/>
          <w:b/>
          <w:color w:val="525866"/>
          <w:sz w:val="22"/>
        </w:rPr>
        <w:t xml:space="preserve">Key Takeaway: </w:t>
      </w:r>
      <w:r>
        <w:rPr>
          <w:rFonts w:ascii="Calibri" w:hAnsi="Calibri"/>
          <w:color w:val="525866"/>
          <w:sz w:val="22"/>
        </w:rPr>
        <w:t>Peer commentary from VMC (reported July 29, 2026) and EXP (reported July 29, 2026) is directly current-quarter aligned and provides the most relevant read-through for MLM’s Q2 2026 print — both confirm healthy infrastructure demand and positive pricing, but both also flag diesel/energy cost headwinds and weather disruptions (particularly in Texas and the Southeast) as the key margin pressure points for the quarter.</w:t>
      </w:r>
    </w:p>
    <w:p>
      <w:r>
        <w:rPr>
          <w:rFonts w:ascii="Calibri" w:hAnsi="Calibri"/>
          <w:b/>
          <w:color w:val="525866"/>
          <w:sz w:val="22"/>
        </w:rPr>
        <w:t xml:space="preserve">Note on Peer Selection: </w:t>
      </w:r>
      <w:r>
        <w:rPr>
          <w:rFonts w:ascii="Calibri" w:hAnsi="Calibri"/>
          <w:color w:val="525866"/>
          <w:sz w:val="22"/>
        </w:rPr>
        <w:t>Only commentary made in the last 60 days (since May 29, 2026) that addresses calendar Q2 2026 performance or forward outlook is included below. Retrospective commentary from peers about their own prior reported quarters is excluded. VMC reported Q2 2026 results on July 29, 2026 (same calendar quarter as MLM’s upcoming report). EXP reported its fiscal Q1 2027 (ended June 30, 2026) on July 29, 2026, which is calendar-aligned with MLM’s Q2 2026.</w:t>
      </w:r>
    </w:p>
    <w:p>
      <w:pPr>
        <w:pStyle w:val="Heading2"/>
      </w:pPr>
      <w:r>
        <w:rPr>
          <w:rFonts w:ascii="Calibri" w:hAnsi="Calibri"/>
          <w:b/>
          <w:color w:val="3B4259"/>
          <w:sz w:val="28"/>
        </w:rPr>
        <w:t>6A. Vulcan Materials (VMC) — Q2 2026 Earnings (Reported July 29, 2026)</w:t>
      </w:r>
    </w:p>
    <w:p>
      <w:r>
        <w:rPr>
          <w:rFonts w:ascii="Calibri" w:hAnsi="Calibri"/>
          <w:b/>
          <w:color w:val="525866"/>
          <w:sz w:val="22"/>
        </w:rPr>
        <w:t xml:space="preserve">Alignment: </w:t>
      </w:r>
      <w:r>
        <w:rPr>
          <w:rFonts w:ascii="Calibri" w:hAnsi="Calibri"/>
          <w:color w:val="525866"/>
          <w:sz w:val="22"/>
        </w:rPr>
        <w:t>VMC’s Q2 2026 (ended June 30, 2026) is the same calendar quarter as MLM’s upcoming Q2 2026 report. VMC is MLM’s closest pure-play aggregates peer. This commentary is directly current-quarter aligned.</w:t>
      </w:r>
    </w:p>
    <w:p>
      <w:pPr>
        <w:pStyle w:val="ListBullet"/>
        <w:ind w:left="360" w:hanging="360"/>
      </w:pPr>
      <w:r>
        <w:rPr>
          <w:rFonts w:ascii="Calibri" w:hAnsi="Calibri"/>
          <w:b/>
          <w:color w:val="525866"/>
          <w:sz w:val="22"/>
        </w:rPr>
        <w:t xml:space="preserve">Aggregates volumes +1% YoY: </w:t>
      </w:r>
      <w:r>
        <w:rPr>
          <w:rFonts w:ascii="Calibri" w:hAnsi="Calibri"/>
          <w:color w:val="525866"/>
          <w:sz w:val="22"/>
        </w:rPr>
        <w:t>VMC reported aggregates shipments up 1% vs. prior year to 59.9M tons, with shipments "varied widely across geographies depending upon weather conditions." Texas and certain Southeastern markets were impacted by significant rainfall in May and June. This is a modest read-through for MLM, which has significant Texas exposure — weather disruptions in those markets likely weighed on MLM’s Q2 volumes as well, though MLM’s East Division strength may partially offset.</w:t>
      </w:r>
    </w:p>
    <w:p>
      <w:pPr>
        <w:pStyle w:val="ListBullet"/>
        <w:ind w:left="360" w:hanging="360"/>
      </w:pPr>
      <w:r>
        <w:rPr>
          <w:rFonts w:ascii="Calibri" w:hAnsi="Calibri"/>
          <w:b/>
          <w:color w:val="525866"/>
          <w:sz w:val="22"/>
        </w:rPr>
        <w:t xml:space="preserve">Aggregates pricing +5% YoY (mix-adjusted): </w:t>
      </w:r>
      <w:r>
        <w:rPr>
          <w:rFonts w:ascii="Calibri" w:hAnsi="Calibri"/>
          <w:color w:val="525866"/>
          <w:sz w:val="22"/>
        </w:rPr>
        <w:t>VMC’s freight-adjusted selling prices increased 5% on a mix-adjusted basis (4% reported), with improvement "widespread across geographies." Mid-year price increases "went as expected" and were "almost two times better than we were last year" sequentially, having been pulled forward to June. This is a strong positive read-through for MLM, which also implemented broad mid-year price increases and guided to greater realization than 2025.</w:t>
      </w:r>
    </w:p>
    <w:p>
      <w:pPr>
        <w:pStyle w:val="ListBullet"/>
        <w:ind w:left="360" w:hanging="360"/>
      </w:pPr>
      <w:r>
        <w:rPr>
          <w:rFonts w:ascii="Calibri" w:hAnsi="Calibri"/>
          <w:b/>
          <w:color w:val="525866"/>
          <w:sz w:val="22"/>
        </w:rPr>
        <w:t xml:space="preserve">Diesel headwinds ~$26M in Q2: </w:t>
      </w:r>
      <w:r>
        <w:rPr>
          <w:rFonts w:ascii="Calibri" w:hAnsi="Calibri"/>
          <w:color w:val="525866"/>
          <w:sz w:val="22"/>
        </w:rPr>
        <w:t>VMC absorbed a $26M diesel headwind in Q2, with freight-adjusted unit cash cost of sales up 7% YoY (3% ex-diesel). VMC expects diesel prices to "remain sticky" at Q2 levels. This confirms MLM’s own guidance of $20–25M diesel headwind in Q2 and validates the cost pressure embedded in consensus.</w:t>
      </w:r>
    </w:p>
    <w:p>
      <w:pPr>
        <w:pStyle w:val="ListBullet"/>
        <w:ind w:left="360" w:hanging="360"/>
      </w:pPr>
      <w:r>
        <w:rPr>
          <w:rFonts w:ascii="Calibri" w:hAnsi="Calibri"/>
          <w:b/>
          <w:color w:val="525866"/>
          <w:sz w:val="22"/>
        </w:rPr>
        <w:t xml:space="preserve">Full-year EBITDA guidance reiterated at $2.4–$2.6B: </w:t>
      </w:r>
      <w:r>
        <w:rPr>
          <w:rFonts w:ascii="Calibri" w:hAnsi="Calibri"/>
          <w:color w:val="525866"/>
          <w:sz w:val="22"/>
        </w:rPr>
        <w:t>VMC reiterated its full-year adjusted EBITDA guidance range, consistent with management’s confidence in the demand backdrop. Pricing expected to "continue to accelerate throughout the year" while costs "continue to decelerate" — a constructive setup for H2 that mirrors MLM’s own guidance narrative.</w:t>
      </w:r>
    </w:p>
    <w:p>
      <w:pPr>
        <w:pStyle w:val="ListBullet"/>
        <w:ind w:left="360" w:hanging="360"/>
      </w:pPr>
      <w:r>
        <w:rPr>
          <w:rFonts w:ascii="Calibri" w:hAnsi="Calibri"/>
          <w:b/>
          <w:color w:val="525866"/>
          <w:sz w:val="22"/>
        </w:rPr>
        <w:t xml:space="preserve">Infrastructure demand remains strong; data centers and LNG accelerating: </w:t>
      </w:r>
      <w:r>
        <w:rPr>
          <w:rFonts w:ascii="Calibri" w:hAnsi="Calibri"/>
          <w:color w:val="525866"/>
          <w:sz w:val="22"/>
        </w:rPr>
        <w:t>VMC cited highway awards in Vulcan markets up double digits YoY, public infrastructure awards up 20% YoY in Vulcan markets. Data centers and LNG projects along the Gulf Coast are driving large project activity. VMC’s footprint is "well aligned with data center activity." This is a direct positive read-through for MLM, which has cited similar demand drivers including Port Arthur LNG and data center tonnage.</w:t>
      </w:r>
    </w:p>
    <w:p>
      <w:pPr>
        <w:pStyle w:val="ListBullet"/>
        <w:ind w:left="360" w:hanging="360"/>
      </w:pPr>
      <w:r>
        <w:rPr>
          <w:rFonts w:ascii="Calibri" w:hAnsi="Calibri"/>
          <w:b/>
          <w:color w:val="525866"/>
          <w:sz w:val="22"/>
        </w:rPr>
        <w:t xml:space="preserve">Residential remains weak; warehousing "overall flat": </w:t>
      </w:r>
      <w:r>
        <w:rPr>
          <w:rFonts w:ascii="Calibri" w:hAnsi="Calibri"/>
          <w:color w:val="525866"/>
          <w:sz w:val="22"/>
        </w:rPr>
        <w:t>VMC noted residential construction "continues to struggle due to the ongoing lack of affordability" and warehousing is "overall flat" with only a few green shoots in specific markets. This is consistent with MLM’s own commentary and suggests no upside surprise from these end markets in Q2.</w:t>
      </w:r>
    </w:p>
    <w:p>
      <w:pPr>
        <w:pStyle w:val="ListBullet"/>
        <w:ind w:left="360" w:hanging="360"/>
      </w:pPr>
      <w:r>
        <w:rPr>
          <w:rFonts w:ascii="Calibri" w:hAnsi="Calibri"/>
          <w:b/>
          <w:color w:val="525866"/>
          <w:sz w:val="22"/>
        </w:rPr>
        <w:t xml:space="preserve">Backlogs healthy; quoting activity "very robust": </w:t>
      </w:r>
      <w:r>
        <w:rPr>
          <w:rFonts w:ascii="Calibri" w:hAnsi="Calibri"/>
          <w:color w:val="525866"/>
          <w:sz w:val="22"/>
        </w:rPr>
        <w:t>VMC described backlogs as "very similar as they did as we entered the year" and quoting activity as "very robust." This supports MLM’s volume guidance for the high end of the full-year range.</w:t>
      </w:r>
    </w:p>
    <w:p>
      <w:pPr>
        <w:pStyle w:val="Heading2"/>
      </w:pPr>
      <w:r>
        <w:rPr>
          <w:rFonts w:ascii="Calibri" w:hAnsi="Calibri"/>
          <w:b/>
          <w:color w:val="3B4259"/>
          <w:sz w:val="28"/>
        </w:rPr>
        <w:t>6B. Eagle Materials (EXP) — Fiscal Q1 2027 / Calendar Q2 2026 Earnings (Reported July 29, 2026)</w:t>
      </w:r>
    </w:p>
    <w:p>
      <w:r>
        <w:rPr>
          <w:rFonts w:ascii="Calibri" w:hAnsi="Calibri"/>
          <w:b/>
          <w:color w:val="525866"/>
          <w:sz w:val="22"/>
        </w:rPr>
        <w:t xml:space="preserve">Alignment: </w:t>
      </w:r>
      <w:r>
        <w:rPr>
          <w:rFonts w:ascii="Calibri" w:hAnsi="Calibri"/>
          <w:color w:val="525866"/>
          <w:sz w:val="22"/>
        </w:rPr>
        <w:t>EXP’s fiscal Q1 2027 ended June 30, 2026, making it calendar-aligned with MLM’s Q2 2026. EXP operates in cement, aggregates, wallboard, and concrete — its aggregates and cement commentary is relevant for MLM’s aggregates business. This commentary is directly current-quarter aligned.</w:t>
      </w:r>
    </w:p>
    <w:p>
      <w:pPr>
        <w:pStyle w:val="ListBullet"/>
        <w:ind w:left="360" w:hanging="360"/>
      </w:pPr>
      <w:r>
        <w:rPr>
          <w:rFonts w:ascii="Calibri" w:hAnsi="Calibri"/>
          <w:b/>
          <w:color w:val="525866"/>
          <w:sz w:val="22"/>
        </w:rPr>
        <w:t xml:space="preserve">Aggregates volumes +1% YoY; revenue +3%: </w:t>
      </w:r>
      <w:r>
        <w:rPr>
          <w:rFonts w:ascii="Calibri" w:hAnsi="Calibri"/>
          <w:color w:val="525866"/>
          <w:sz w:val="22"/>
        </w:rPr>
        <w:t>EXP reported aggregates sales volume of 1,741M tons (+1% YoY) and concrete/aggregates revenue up 3% to $76.2M, driven by higher aggregates sales volume and prices. Average net aggregates price increased 2% to $14.47/ton. Modest but positive read-through for MLM’s aggregates volume and pricing.</w:t>
      </w:r>
    </w:p>
    <w:p>
      <w:pPr>
        <w:pStyle w:val="ListBullet"/>
        <w:ind w:left="360" w:hanging="360"/>
      </w:pPr>
      <w:r>
        <w:rPr>
          <w:rFonts w:ascii="Calibri" w:hAnsi="Calibri"/>
          <w:b/>
          <w:color w:val="525866"/>
          <w:sz w:val="22"/>
        </w:rPr>
        <w:t xml:space="preserve">Infrastructure and data center demand strong: </w:t>
      </w:r>
      <w:r>
        <w:rPr>
          <w:rFonts w:ascii="Calibri" w:hAnsi="Calibri"/>
          <w:color w:val="525866"/>
          <w:sz w:val="22"/>
        </w:rPr>
        <w:t>EXP cited "sustained strength in public construction activity and large private non-residential projects" driving cement volume growth of 8% YoY. Data center construction was observed across all regions, with customers seeing an "increased number of projects, building footprint sizes and visibility from project announcement to actual construction." EXP bid "double the number of data centers in the first half of calendar 2026 versus the first half of calendar 2025." This is a strong positive read-through for MLM’s data center and infrastructure demand narrative.</w:t>
      </w:r>
    </w:p>
    <w:p>
      <w:pPr>
        <w:pStyle w:val="ListBullet"/>
        <w:ind w:left="360" w:hanging="360"/>
      </w:pPr>
      <w:r>
        <w:rPr>
          <w:rFonts w:ascii="Calibri" w:hAnsi="Calibri"/>
          <w:b/>
          <w:color w:val="525866"/>
          <w:sz w:val="22"/>
        </w:rPr>
        <w:t xml:space="preserve">Fuel/diesel cost headwinds weighed on margins: </w:t>
      </w:r>
      <w:r>
        <w:rPr>
          <w:rFonts w:ascii="Calibri" w:hAnsi="Calibri"/>
          <w:color w:val="525866"/>
          <w:sz w:val="22"/>
        </w:rPr>
        <w:t>EXP noted "fuel cost pressures weighed on profitability in the past quarter" with higher delivery costs across cement and wallboard businesses "primarily driven by elevated diesel prices during the quarter." Heavy materials operating earnings decreased 11% YoY primarily due to higher cement operating costs. This confirms the diesel headwind theme for MLM’s Q2 and validates the cost pressure embedded in consensus.</w:t>
      </w:r>
    </w:p>
    <w:p>
      <w:pPr>
        <w:pStyle w:val="ListBullet"/>
        <w:ind w:left="360" w:hanging="360"/>
      </w:pPr>
      <w:r>
        <w:rPr>
          <w:rFonts w:ascii="Calibri" w:hAnsi="Calibri"/>
          <w:b/>
          <w:color w:val="525866"/>
          <w:sz w:val="22"/>
        </w:rPr>
        <w:t xml:space="preserve">State DOT budgets healthy; IIJA spending supportive: </w:t>
      </w:r>
      <w:r>
        <w:rPr>
          <w:rFonts w:ascii="Calibri" w:hAnsi="Calibri"/>
          <w:color w:val="525866"/>
          <w:sz w:val="22"/>
        </w:rPr>
        <w:t>EXP cited "elevated infrastructure spending driven by federal IIJA bill and elevated state DOT budgets" with customers reporting a "robust pipeline of multiyear infrastructure projects." Oklahoma cited as having "more than double the miles and more than double the funding levels" in its state budget. This is consistent with MLM’s own commentary on state DOT budget strength.</w:t>
      </w:r>
    </w:p>
    <w:p>
      <w:pPr>
        <w:pStyle w:val="ListBullet"/>
        <w:ind w:left="360" w:hanging="360"/>
      </w:pPr>
      <w:r>
        <w:rPr>
          <w:rFonts w:ascii="Calibri" w:hAnsi="Calibri"/>
          <w:b/>
          <w:color w:val="525866"/>
          <w:sz w:val="22"/>
        </w:rPr>
        <w:t xml:space="preserve">Residential soft; non-residential offsetting: </w:t>
      </w:r>
      <w:r>
        <w:rPr>
          <w:rFonts w:ascii="Calibri" w:hAnsi="Calibri"/>
          <w:color w:val="525866"/>
          <w:sz w:val="22"/>
        </w:rPr>
        <w:t>EXP noted infrastructure and non-residential construction constitute "about 80% of our heavy side end market exposure" and that "growth in those markets has offset the softness in residential construction." Consistent with MLM’s end market mix and guidance.</w:t>
      </w:r>
    </w:p>
    <w:p>
      <w:pPr>
        <w:pStyle w:val="ListBullet"/>
        <w:ind w:left="360" w:hanging="360"/>
      </w:pPr>
      <w:r>
        <w:rPr>
          <w:rFonts w:ascii="Calibri" w:hAnsi="Calibri"/>
          <w:b/>
          <w:color w:val="525866"/>
          <w:sz w:val="22"/>
        </w:rPr>
        <w:t xml:space="preserve">Record first-quarter revenue of $651M (+3% YoY): </w:t>
      </w:r>
      <w:r>
        <w:rPr>
          <w:rFonts w:ascii="Calibri" w:hAnsi="Calibri"/>
          <w:color w:val="525866"/>
          <w:sz w:val="22"/>
        </w:rPr>
        <w:t>EXP delivered record first-quarter revenue despite higher freight costs and unexpected downtime at its Mountain Cement facility ($6M impact). The record revenue despite headwinds is a modestly positive read-through for MLM’s revenue line.</w:t>
      </w:r>
    </w:p>
    <w:p>
      <w:r>
        <w:rPr>
          <w:rFonts w:ascii="Calibri" w:hAnsi="Calibri"/>
          <w:b/>
          <w:color w:val="525866"/>
          <w:sz w:val="22"/>
        </w:rPr>
        <w:t xml:space="preserve">Overall Read-Through Assessment: </w:t>
      </w:r>
      <w:r>
        <w:rPr>
          <w:rFonts w:ascii="Calibri" w:hAnsi="Calibri"/>
          <w:color w:val="525866"/>
          <w:sz w:val="22"/>
        </w:rPr>
        <w:t>The VMC and EXP prints are broadly constructive for MLM’s Q2 2026 setup. Both confirm: (1) healthy infrastructure and data center demand, (2) positive pricing momentum with mid-year increases tracking well, (3) diesel/energy cost headwinds as the primary margin pressure, and (4) weather disruptions (particularly Texas/Southeast) as a volume headwind. The VMC print is particularly relevant given its near-identical business model and geographic overlap. VMC’s reiteration of full-year guidance and commentary on pricing acceleration in H2 supports MLM’s own guidance reaffirmation narrative.</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dominant post-Q1 development is the June 29 announcement of the $13.5B Lhoist North America acquisition — the largest deal in MLM’s history by a wide margin — which has overshadowed the operating setup and will likely dominate the Q2 earnings call discussion around leverage, financing, and strategic rationale.</w:t>
      </w:r>
    </w:p>
    <w:p>
      <w:pPr>
        <w:pStyle w:val="ListBullet"/>
        <w:ind w:left="360" w:hanging="360"/>
      </w:pPr>
      <w:r>
        <w:rPr>
          <w:rFonts w:ascii="Calibri" w:hAnsi="Calibri"/>
          <w:b/>
          <w:color w:val="525866"/>
          <w:sz w:val="22"/>
        </w:rPr>
        <w:t xml:space="preserve">June 29, 2026 — Lhoist North America Acquisition Announced ($13.5B): </w:t>
      </w:r>
      <w:r>
        <w:rPr>
          <w:rFonts w:ascii="Calibri" w:hAnsi="Calibri"/>
          <w:color w:val="525866"/>
          <w:sz w:val="22"/>
        </w:rPr>
        <w:t xml:space="preserve">MLM announced a definitive agreement to acquire Lhoist North America, Inc. from LNA Holding SRL (Belgium) for $13.5 billion in cash and MLM common stock. Lhoist North America produces, distributes, and sells lime, dolomitic lime, limestone- and dolomitic stone-based industrial minerals, and aggregates in North America. This is by far the largest acquisition in MLM’s history (the Quikrete exchange, previously the largest, was valued at ~$2.5B equivalent). </w:t>
      </w:r>
      <w:r>
        <w:rPr>
          <w:rFonts w:ascii="Calibri" w:hAnsi="Calibri"/>
          <w:b/>
          <w:color w:val="525866"/>
          <w:sz w:val="22"/>
        </w:rPr>
        <w:t xml:space="preserve">Implication: </w:t>
      </w:r>
      <w:r>
        <w:rPr>
          <w:rFonts w:ascii="Calibri" w:hAnsi="Calibri"/>
          <w:color w:val="525866"/>
          <w:sz w:val="22"/>
        </w:rPr>
        <w:t>Significant leverage increase expected post-close; covenant allows up to 4.75x leverage for first three quarters post-close. Market reaction was sharply negative (~7.5% single-day decline on June 29), reflecting concerns about deal size, dilution, and strategic pivot away from pure aggregates. Management will need to provide compelling synergy and deleveraging narrative on the Q2 call.</w:t>
      </w:r>
    </w:p>
    <w:p>
      <w:pPr>
        <w:pStyle w:val="ListBullet"/>
        <w:ind w:left="360" w:hanging="360"/>
      </w:pPr>
      <w:r>
        <w:rPr>
          <w:rFonts w:ascii="Calibri" w:hAnsi="Calibri"/>
          <w:b/>
          <w:color w:val="525866"/>
          <w:sz w:val="22"/>
        </w:rPr>
        <w:t xml:space="preserve">July 15, 2026 — $1.5B Term Loan Secured; Revolving Credit Amended (8-K): </w:t>
      </w:r>
      <w:r>
        <w:rPr>
          <w:rFonts w:ascii="Calibri" w:hAnsi="Calibri"/>
          <w:color w:val="525866"/>
          <w:sz w:val="22"/>
        </w:rPr>
        <w:t xml:space="preserve">MLM entered into a $1.5B three-year senior unsecured term loan facility with JPMorgan Chase as administrative agent, contingent on Lhoist acquisition closing. Simultaneously, MLM amended its $800M revolving credit facility to modify leverage covenants: maximum leverage ratio of 4.75x for first three quarters post-close, stepping down to 4.25x for the next three quarters, then 3.75x thereafter. </w:t>
      </w:r>
      <w:r>
        <w:rPr>
          <w:rFonts w:ascii="Calibri" w:hAnsi="Calibri"/>
          <w:b/>
          <w:color w:val="525866"/>
          <w:sz w:val="22"/>
        </w:rPr>
        <w:t xml:space="preserve">Implication: </w:t>
      </w:r>
      <w:r>
        <w:rPr>
          <w:rFonts w:ascii="Calibri" w:hAnsi="Calibri"/>
          <w:color w:val="525866"/>
          <w:sz w:val="22"/>
        </w:rPr>
        <w:t>Financing structure is in place, reducing execution risk on the deal. However, the leverage trajectory (4.75x → 3.75x) implies a multi-year deleveraging period that will constrain capital allocation flexibility and likely limit buybacks and bolt-on M&amp;A.</w:t>
      </w:r>
    </w:p>
    <w:p>
      <w:pPr>
        <w:pStyle w:val="ListBullet"/>
        <w:ind w:left="360" w:hanging="360"/>
      </w:pPr>
      <w:r>
        <w:rPr>
          <w:rFonts w:ascii="Calibri" w:hAnsi="Calibri"/>
          <w:b/>
          <w:color w:val="525866"/>
          <w:sz w:val="22"/>
        </w:rPr>
        <w:t xml:space="preserve">May 14, 2026 — Shareholders Approve New Stock Plan and Executive Compensation (8-K): </w:t>
      </w:r>
      <w:r>
        <w:rPr>
          <w:rFonts w:ascii="Calibri" w:hAnsi="Calibri"/>
          <w:color w:val="525866"/>
          <w:sz w:val="22"/>
        </w:rPr>
        <w:t xml:space="preserve">MLM shareholders voted to approve a new equity compensation plan and executive compensation at the annual meeting. </w:t>
      </w:r>
      <w:r>
        <w:rPr>
          <w:rFonts w:ascii="Calibri" w:hAnsi="Calibri"/>
          <w:b/>
          <w:color w:val="525866"/>
          <w:sz w:val="22"/>
        </w:rPr>
        <w:t xml:space="preserve">Implication: </w:t>
      </w:r>
      <w:r>
        <w:rPr>
          <w:rFonts w:ascii="Calibri" w:hAnsi="Calibri"/>
          <w:color w:val="525866"/>
          <w:sz w:val="22"/>
        </w:rPr>
        <w:t>Routine governance item; no material impact on operating outlook.</w:t>
      </w:r>
    </w:p>
    <w:p>
      <w:pPr>
        <w:pStyle w:val="ListBullet"/>
        <w:ind w:left="360" w:hanging="360"/>
      </w:pPr>
      <w:r>
        <w:rPr>
          <w:rFonts w:ascii="Calibri" w:hAnsi="Calibri"/>
          <w:b/>
          <w:color w:val="525866"/>
          <w:sz w:val="22"/>
        </w:rPr>
        <w:t xml:space="preserve">April 30, 2026 — Q1 2026 Earnings: Record First-Quarter Results; Guidance Reaffirmed: </w:t>
      </w:r>
      <w:r>
        <w:rPr>
          <w:rFonts w:ascii="Calibri" w:hAnsi="Calibri"/>
          <w:color w:val="525866"/>
          <w:sz w:val="22"/>
        </w:rPr>
        <w:t xml:space="preserve">MLM reported record first-quarter revenues and aggregates shipments. Organic aggregates shipment growth of 7.2% meaningfully exceeded guidance. Quikrete integration tracking ahead of plan ($17M EBITDA in one month, 42% margin). Full-year 2026 Adjusted EBITDA guidance reaffirmed at $2.43B midpoint. New Frontier Materials acquisition announced (April 19). Chris Samborski appointed COO effective May 1. </w:t>
      </w:r>
      <w:r>
        <w:rPr>
          <w:rFonts w:ascii="Calibri" w:hAnsi="Calibri"/>
          <w:b/>
          <w:color w:val="525866"/>
          <w:sz w:val="22"/>
        </w:rPr>
        <w:t xml:space="preserve">Implication: </w:t>
      </w:r>
      <w:r>
        <w:rPr>
          <w:rFonts w:ascii="Calibri" w:hAnsi="Calibri"/>
          <w:color w:val="525866"/>
          <w:sz w:val="22"/>
        </w:rPr>
        <w:t>Strong operational momentum entering Q2; management tone was notably bullish with multiple upside levers flagged for mid-year review.</w:t>
      </w:r>
    </w:p>
    <w:p>
      <w:pPr>
        <w:pStyle w:val="ListBullet"/>
        <w:ind w:left="360" w:hanging="360"/>
      </w:pPr>
      <w:r>
        <w:rPr>
          <w:rFonts w:ascii="Calibri" w:hAnsi="Calibri"/>
          <w:b/>
          <w:color w:val="525866"/>
          <w:sz w:val="22"/>
        </w:rPr>
        <w:t xml:space="preserve">July 29, 2026 — VMC Reports Q2 2026: Modest Beat; Full-Year Guidance Reiterated: </w:t>
      </w:r>
      <w:r>
        <w:rPr>
          <w:rFonts w:ascii="Calibri" w:hAnsi="Calibri"/>
          <w:color w:val="525866"/>
          <w:sz w:val="22"/>
        </w:rPr>
        <w:t xml:space="preserve">Vulcan Materials reported Q2 2026 total revenue of ~$2.16B (beat vs. ~$2.12B consensus) and reiterated full-year adjusted EBITDA guidance of $2.4–$2.6B. Aggregates shipments +1% YoY; pricing +5% mix-adjusted. Diesel headwind of ~$26M in Q2. </w:t>
      </w:r>
      <w:r>
        <w:rPr>
          <w:rFonts w:ascii="Calibri" w:hAnsi="Calibri"/>
          <w:b/>
          <w:color w:val="525866"/>
          <w:sz w:val="22"/>
        </w:rPr>
        <w:t xml:space="preserve">Implication: </w:t>
      </w:r>
      <w:r>
        <w:rPr>
          <w:rFonts w:ascii="Calibri" w:hAnsi="Calibri"/>
          <w:color w:val="525866"/>
          <w:sz w:val="22"/>
        </w:rPr>
        <w:t>Positive read-through for MLM’s demand and pricing environment; confirms diesel headwind magnitude; weather disruptions in Texas/Southeast are a shared headwind.</w:t>
      </w:r>
    </w:p>
    <w:p>
      <w:pPr>
        <w:pStyle w:val="ListBullet"/>
        <w:ind w:left="360" w:hanging="360"/>
      </w:pPr>
      <w:r>
        <w:rPr>
          <w:rFonts w:ascii="Calibri" w:hAnsi="Calibri"/>
          <w:b/>
          <w:color w:val="525866"/>
          <w:sz w:val="22"/>
        </w:rPr>
        <w:t xml:space="preserve">July 29, 2026 — EXP Reports Fiscal Q1 2027 (Calendar Q2 2026): Record Revenue Despite Headwinds: </w:t>
      </w:r>
      <w:r>
        <w:rPr>
          <w:rFonts w:ascii="Calibri" w:hAnsi="Calibri"/>
          <w:color w:val="525866"/>
          <w:sz w:val="22"/>
        </w:rPr>
        <w:t xml:space="preserve">Eagle Materials reported record first-quarter revenue of $651M (+3% YoY) with aggregates volumes +1% and pricing +2%. Fuel cost pressures weighed on margins; heavy materials operating earnings down 11% YoY. Data center demand doubled YoY in bidding activity. </w:t>
      </w:r>
      <w:r>
        <w:rPr>
          <w:rFonts w:ascii="Calibri" w:hAnsi="Calibri"/>
          <w:b/>
          <w:color w:val="525866"/>
          <w:sz w:val="22"/>
        </w:rPr>
        <w:t xml:space="preserve">Implication: </w:t>
      </w:r>
      <w:r>
        <w:rPr>
          <w:rFonts w:ascii="Calibri" w:hAnsi="Calibri"/>
          <w:color w:val="525866"/>
          <w:sz w:val="22"/>
        </w:rPr>
        <w:t>Confirms strong infrastructure and data center demand; validates diesel headwind theme; modest positive for MLM’s volume and pricing outlook.</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or directors since the Q1 earnings date — all transactions in the period are equity compensation grants (transaction code ‘A’ / Acquisition), which are routine and non-signaling. The absence of any open-market purchases despite the ~8% stock decline since April 30 is notable but not alarming given the pending Lhoist acquisition and associated blackout/quiet period considerations.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Samborski, Christopher W.</w:t>
            </w:r>
          </w:p>
        </w:tc>
        <w:tc>
          <w:tcPr>
            <w:tcW w:type="dxa" w:w="1234"/>
          </w:tcPr>
          <w:p>
            <w:r>
              <w:rPr>
                <w:rFonts w:ascii="Calibri" w:hAnsi="Calibri"/>
                <w:sz w:val="22"/>
              </w:rPr>
              <w:t>EVP, COO</w:t>
            </w:r>
          </w:p>
        </w:tc>
        <w:tc>
          <w:tcPr>
            <w:tcW w:type="dxa" w:w="1234"/>
          </w:tcPr>
          <w:p>
            <w:r>
              <w:rPr>
                <w:rFonts w:ascii="Calibri" w:hAnsi="Calibri"/>
                <w:sz w:val="22"/>
              </w:rPr>
              <w:t>Equity Grant (Code A)</w:t>
            </w:r>
          </w:p>
        </w:tc>
        <w:tc>
          <w:tcPr>
            <w:tcW w:type="dxa" w:w="1234"/>
          </w:tcPr>
          <w:p>
            <w:r>
              <w:rPr>
                <w:rFonts w:ascii="Calibri" w:hAnsi="Calibri"/>
                <w:sz w:val="22"/>
              </w:rPr>
              <w:t>8,101</w:t>
            </w:r>
          </w:p>
        </w:tc>
        <w:tc>
          <w:tcPr>
            <w:tcW w:type="dxa" w:w="1234"/>
          </w:tcPr>
          <w:p>
            <w:r>
              <w:rPr>
                <w:rFonts w:ascii="Calibri" w:hAnsi="Calibri"/>
                <w:sz w:val="22"/>
              </w:rPr>
              <w:t>May 1, 2026</w:t>
            </w:r>
          </w:p>
        </w:tc>
        <w:tc>
          <w:tcPr>
            <w:tcW w:type="dxa" w:w="1234"/>
          </w:tcPr>
          <w:p>
            <w:r>
              <w:rPr>
                <w:rFonts w:ascii="Calibri" w:hAnsi="Calibri"/>
                <w:sz w:val="22"/>
              </w:rPr>
              <w:t>May 5, 2026</w:t>
            </w:r>
          </w:p>
        </w:tc>
        <w:tc>
          <w:tcPr>
            <w:tcW w:type="dxa" w:w="1234"/>
          </w:tcPr>
          <w:p>
            <w:r>
              <w:rPr>
                <w:rFonts w:ascii="Calibri" w:hAnsi="Calibri"/>
                <w:sz w:val="22"/>
              </w:rPr>
              <w:t>Compensation grant upon COO appointment effective May 1; not a discretionary open-market purchase</w:t>
            </w:r>
          </w:p>
        </w:tc>
      </w:tr>
      <w:tr>
        <w:tc>
          <w:tcPr>
            <w:tcW w:type="dxa" w:w="1234"/>
          </w:tcPr>
          <w:p>
            <w:r>
              <w:rPr>
                <w:rFonts w:ascii="Calibri" w:hAnsi="Calibri"/>
                <w:sz w:val="22"/>
              </w:rPr>
              <w:t>Ables, Dorothy M.</w:t>
            </w:r>
          </w:p>
        </w:tc>
        <w:tc>
          <w:tcPr>
            <w:tcW w:type="dxa" w:w="1234"/>
          </w:tcPr>
          <w:p>
            <w:r>
              <w:rPr>
                <w:rFonts w:ascii="Calibri" w:hAnsi="Calibri"/>
                <w:sz w:val="22"/>
              </w:rPr>
              <w:t>Director</w:t>
            </w:r>
          </w:p>
        </w:tc>
        <w:tc>
          <w:tcPr>
            <w:tcW w:type="dxa" w:w="1234"/>
          </w:tcPr>
          <w:p>
            <w:r>
              <w:rPr>
                <w:rFonts w:ascii="Calibri" w:hAnsi="Calibri"/>
                <w:sz w:val="22"/>
              </w:rPr>
              <w:t>Equity Grant (Code A)</w:t>
            </w:r>
          </w:p>
        </w:tc>
        <w:tc>
          <w:tcPr>
            <w:tcW w:type="dxa" w:w="1234"/>
          </w:tcPr>
          <w:p>
            <w:r>
              <w:rPr>
                <w:rFonts w:ascii="Calibri" w:hAnsi="Calibri"/>
                <w:sz w:val="22"/>
              </w:rPr>
              <w:t>313</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 grant</w:t>
            </w:r>
          </w:p>
        </w:tc>
      </w:tr>
      <w:tr>
        <w:tc>
          <w:tcPr>
            <w:tcW w:type="dxa" w:w="1234"/>
          </w:tcPr>
          <w:p>
            <w:r>
              <w:rPr>
                <w:rFonts w:ascii="Calibri" w:hAnsi="Calibri"/>
                <w:sz w:val="22"/>
              </w:rPr>
              <w:t>Delly, Gayla J.</w:t>
            </w:r>
          </w:p>
        </w:tc>
        <w:tc>
          <w:tcPr>
            <w:tcW w:type="dxa" w:w="1234"/>
          </w:tcPr>
          <w:p>
            <w:r>
              <w:rPr>
                <w:rFonts w:ascii="Calibri" w:hAnsi="Calibri"/>
                <w:sz w:val="22"/>
              </w:rPr>
              <w:t>Director</w:t>
            </w:r>
          </w:p>
        </w:tc>
        <w:tc>
          <w:tcPr>
            <w:tcW w:type="dxa" w:w="1234"/>
          </w:tcPr>
          <w:p>
            <w:r>
              <w:rPr>
                <w:rFonts w:ascii="Calibri" w:hAnsi="Calibri"/>
                <w:sz w:val="22"/>
              </w:rPr>
              <w:t>Equity Grant (Code A)</w:t>
            </w:r>
          </w:p>
        </w:tc>
        <w:tc>
          <w:tcPr>
            <w:tcW w:type="dxa" w:w="1234"/>
          </w:tcPr>
          <w:p>
            <w:r>
              <w:rPr>
                <w:rFonts w:ascii="Calibri" w:hAnsi="Calibri"/>
                <w:sz w:val="22"/>
              </w:rPr>
              <w:t>313</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 grant</w:t>
            </w:r>
          </w:p>
        </w:tc>
      </w:tr>
      <w:tr>
        <w:tc>
          <w:tcPr>
            <w:tcW w:type="dxa" w:w="1234"/>
          </w:tcPr>
          <w:p>
            <w:r>
              <w:rPr>
                <w:rFonts w:ascii="Calibri" w:hAnsi="Calibri"/>
                <w:sz w:val="22"/>
              </w:rPr>
              <w:t>Foxx, Anthony R.</w:t>
            </w:r>
          </w:p>
        </w:tc>
        <w:tc>
          <w:tcPr>
            <w:tcW w:type="dxa" w:w="1234"/>
          </w:tcPr>
          <w:p>
            <w:r>
              <w:rPr>
                <w:rFonts w:ascii="Calibri" w:hAnsi="Calibri"/>
                <w:sz w:val="22"/>
              </w:rPr>
              <w:t>Director</w:t>
            </w:r>
          </w:p>
        </w:tc>
        <w:tc>
          <w:tcPr>
            <w:tcW w:type="dxa" w:w="1234"/>
          </w:tcPr>
          <w:p>
            <w:r>
              <w:rPr>
                <w:rFonts w:ascii="Calibri" w:hAnsi="Calibri"/>
                <w:sz w:val="22"/>
              </w:rPr>
              <w:t>Equity Grant (Code A)</w:t>
            </w:r>
          </w:p>
        </w:tc>
        <w:tc>
          <w:tcPr>
            <w:tcW w:type="dxa" w:w="1234"/>
          </w:tcPr>
          <w:p>
            <w:r>
              <w:rPr>
                <w:rFonts w:ascii="Calibri" w:hAnsi="Calibri"/>
                <w:sz w:val="22"/>
              </w:rPr>
              <w:t>313</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 grant</w:t>
            </w:r>
          </w:p>
        </w:tc>
      </w:tr>
      <w:tr>
        <w:tc>
          <w:tcPr>
            <w:tcW w:type="dxa" w:w="1234"/>
          </w:tcPr>
          <w:p>
            <w:r>
              <w:rPr>
                <w:rFonts w:ascii="Calibri" w:hAnsi="Calibri"/>
                <w:sz w:val="22"/>
              </w:rPr>
              <w:t>Lyons, Martin J.</w:t>
            </w:r>
          </w:p>
        </w:tc>
        <w:tc>
          <w:tcPr>
            <w:tcW w:type="dxa" w:w="1234"/>
          </w:tcPr>
          <w:p>
            <w:r>
              <w:rPr>
                <w:rFonts w:ascii="Calibri" w:hAnsi="Calibri"/>
                <w:sz w:val="22"/>
              </w:rPr>
              <w:t>Director</w:t>
            </w:r>
          </w:p>
        </w:tc>
        <w:tc>
          <w:tcPr>
            <w:tcW w:type="dxa" w:w="1234"/>
          </w:tcPr>
          <w:p>
            <w:r>
              <w:rPr>
                <w:rFonts w:ascii="Calibri" w:hAnsi="Calibri"/>
                <w:sz w:val="22"/>
              </w:rPr>
              <w:t>Equity Grant (Code A)</w:t>
            </w:r>
          </w:p>
        </w:tc>
        <w:tc>
          <w:tcPr>
            <w:tcW w:type="dxa" w:w="1234"/>
          </w:tcPr>
          <w:p>
            <w:r>
              <w:rPr>
                <w:rFonts w:ascii="Calibri" w:hAnsi="Calibri"/>
                <w:sz w:val="22"/>
              </w:rPr>
              <w:t>313</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 grant</w:t>
            </w:r>
          </w:p>
        </w:tc>
      </w:tr>
      <w:tr>
        <w:tc>
          <w:tcPr>
            <w:tcW w:type="dxa" w:w="1234"/>
          </w:tcPr>
          <w:p>
            <w:r>
              <w:rPr>
                <w:rFonts w:ascii="Calibri" w:hAnsi="Calibri"/>
                <w:sz w:val="22"/>
              </w:rPr>
              <w:t>Mack, Mary T.</w:t>
            </w:r>
          </w:p>
        </w:tc>
        <w:tc>
          <w:tcPr>
            <w:tcW w:type="dxa" w:w="1234"/>
          </w:tcPr>
          <w:p>
            <w:r>
              <w:rPr>
                <w:rFonts w:ascii="Calibri" w:hAnsi="Calibri"/>
                <w:sz w:val="22"/>
              </w:rPr>
              <w:t>Director</w:t>
            </w:r>
          </w:p>
        </w:tc>
        <w:tc>
          <w:tcPr>
            <w:tcW w:type="dxa" w:w="1234"/>
          </w:tcPr>
          <w:p>
            <w:r>
              <w:rPr>
                <w:rFonts w:ascii="Calibri" w:hAnsi="Calibri"/>
                <w:sz w:val="22"/>
              </w:rPr>
              <w:t>Equity Grant (Code A)</w:t>
            </w:r>
          </w:p>
        </w:tc>
        <w:tc>
          <w:tcPr>
            <w:tcW w:type="dxa" w:w="1234"/>
          </w:tcPr>
          <w:p>
            <w:r>
              <w:rPr>
                <w:rFonts w:ascii="Calibri" w:hAnsi="Calibri"/>
                <w:sz w:val="22"/>
              </w:rPr>
              <w:t>313</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 grant</w:t>
            </w:r>
          </w:p>
        </w:tc>
      </w:tr>
      <w:tr>
        <w:tc>
          <w:tcPr>
            <w:tcW w:type="dxa" w:w="1234"/>
          </w:tcPr>
          <w:p>
            <w:r>
              <w:rPr>
                <w:rFonts w:ascii="Calibri" w:hAnsi="Calibri"/>
                <w:sz w:val="22"/>
              </w:rPr>
              <w:t>Perez, Laree E.</w:t>
            </w:r>
          </w:p>
        </w:tc>
        <w:tc>
          <w:tcPr>
            <w:tcW w:type="dxa" w:w="1234"/>
          </w:tcPr>
          <w:p>
            <w:r>
              <w:rPr>
                <w:rFonts w:ascii="Calibri" w:hAnsi="Calibri"/>
                <w:sz w:val="22"/>
              </w:rPr>
              <w:t>Director</w:t>
            </w:r>
          </w:p>
        </w:tc>
        <w:tc>
          <w:tcPr>
            <w:tcW w:type="dxa" w:w="1234"/>
          </w:tcPr>
          <w:p>
            <w:r>
              <w:rPr>
                <w:rFonts w:ascii="Calibri" w:hAnsi="Calibri"/>
                <w:sz w:val="22"/>
              </w:rPr>
              <w:t>Equity Grant (Code A)</w:t>
            </w:r>
          </w:p>
        </w:tc>
        <w:tc>
          <w:tcPr>
            <w:tcW w:type="dxa" w:w="1234"/>
          </w:tcPr>
          <w:p>
            <w:r>
              <w:rPr>
                <w:rFonts w:ascii="Calibri" w:hAnsi="Calibri"/>
                <w:sz w:val="22"/>
              </w:rPr>
              <w:t>313</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 grant</w:t>
            </w:r>
          </w:p>
        </w:tc>
      </w:tr>
      <w:tr>
        <w:tc>
          <w:tcPr>
            <w:tcW w:type="dxa" w:w="1234"/>
          </w:tcPr>
          <w:p>
            <w:r>
              <w:rPr>
                <w:rFonts w:ascii="Calibri" w:hAnsi="Calibri"/>
                <w:sz w:val="22"/>
              </w:rPr>
              <w:t>Pike, Thomas</w:t>
            </w:r>
          </w:p>
        </w:tc>
        <w:tc>
          <w:tcPr>
            <w:tcW w:type="dxa" w:w="1234"/>
          </w:tcPr>
          <w:p>
            <w:r>
              <w:rPr>
                <w:rFonts w:ascii="Calibri" w:hAnsi="Calibri"/>
                <w:sz w:val="22"/>
              </w:rPr>
              <w:t>Director</w:t>
            </w:r>
          </w:p>
        </w:tc>
        <w:tc>
          <w:tcPr>
            <w:tcW w:type="dxa" w:w="1234"/>
          </w:tcPr>
          <w:p>
            <w:r>
              <w:rPr>
                <w:rFonts w:ascii="Calibri" w:hAnsi="Calibri"/>
                <w:sz w:val="22"/>
              </w:rPr>
              <w:t>Equity Grant (Code A)</w:t>
            </w:r>
          </w:p>
        </w:tc>
        <w:tc>
          <w:tcPr>
            <w:tcW w:type="dxa" w:w="1234"/>
          </w:tcPr>
          <w:p>
            <w:r>
              <w:rPr>
                <w:rFonts w:ascii="Calibri" w:hAnsi="Calibri"/>
                <w:sz w:val="22"/>
              </w:rPr>
              <w:t>313</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 grant</w:t>
            </w:r>
          </w:p>
        </w:tc>
      </w:tr>
      <w:tr>
        <w:tc>
          <w:tcPr>
            <w:tcW w:type="dxa" w:w="1234"/>
          </w:tcPr>
          <w:p>
            <w:r>
              <w:rPr>
                <w:rFonts w:ascii="Calibri" w:hAnsi="Calibri"/>
                <w:sz w:val="22"/>
              </w:rPr>
              <w:t>Slager, Donald W.</w:t>
            </w:r>
          </w:p>
        </w:tc>
        <w:tc>
          <w:tcPr>
            <w:tcW w:type="dxa" w:w="1234"/>
          </w:tcPr>
          <w:p>
            <w:r>
              <w:rPr>
                <w:rFonts w:ascii="Calibri" w:hAnsi="Calibri"/>
                <w:sz w:val="22"/>
              </w:rPr>
              <w:t>Director</w:t>
            </w:r>
          </w:p>
        </w:tc>
        <w:tc>
          <w:tcPr>
            <w:tcW w:type="dxa" w:w="1234"/>
          </w:tcPr>
          <w:p>
            <w:r>
              <w:rPr>
                <w:rFonts w:ascii="Calibri" w:hAnsi="Calibri"/>
                <w:sz w:val="22"/>
              </w:rPr>
              <w:t>Equity Grant (Code A)</w:t>
            </w:r>
          </w:p>
        </w:tc>
        <w:tc>
          <w:tcPr>
            <w:tcW w:type="dxa" w:w="1234"/>
          </w:tcPr>
          <w:p>
            <w:r>
              <w:rPr>
                <w:rFonts w:ascii="Calibri" w:hAnsi="Calibri"/>
                <w:sz w:val="22"/>
              </w:rPr>
              <w:t>313</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 grant</w:t>
            </w:r>
          </w:p>
        </w:tc>
      </w:tr>
      <w:tr>
        <w:tc>
          <w:tcPr>
            <w:tcW w:type="dxa" w:w="1234"/>
          </w:tcPr>
          <w:p>
            <w:r>
              <w:rPr>
                <w:rFonts w:ascii="Calibri" w:hAnsi="Calibri"/>
                <w:sz w:val="22"/>
              </w:rPr>
              <w:t>Wajsgras, David C.</w:t>
            </w:r>
          </w:p>
        </w:tc>
        <w:tc>
          <w:tcPr>
            <w:tcW w:type="dxa" w:w="1234"/>
          </w:tcPr>
          <w:p>
            <w:r>
              <w:rPr>
                <w:rFonts w:ascii="Calibri" w:hAnsi="Calibri"/>
                <w:sz w:val="22"/>
              </w:rPr>
              <w:t>Director</w:t>
            </w:r>
          </w:p>
        </w:tc>
        <w:tc>
          <w:tcPr>
            <w:tcW w:type="dxa" w:w="1234"/>
          </w:tcPr>
          <w:p>
            <w:r>
              <w:rPr>
                <w:rFonts w:ascii="Calibri" w:hAnsi="Calibri"/>
                <w:sz w:val="22"/>
              </w:rPr>
              <w:t>Equity Grant (Code A)</w:t>
            </w:r>
          </w:p>
        </w:tc>
        <w:tc>
          <w:tcPr>
            <w:tcW w:type="dxa" w:w="1234"/>
          </w:tcPr>
          <w:p>
            <w:r>
              <w:rPr>
                <w:rFonts w:ascii="Calibri" w:hAnsi="Calibri"/>
                <w:sz w:val="22"/>
              </w:rPr>
              <w:t>313</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annual director equity compensation grant</w:t>
            </w:r>
          </w:p>
        </w:tc>
      </w:tr>
      <w:tr>
        <w:tc>
          <w:tcPr>
            <w:tcW w:type="dxa" w:w="1234"/>
          </w:tcPr>
          <w:p>
            <w:r>
              <w:rPr>
                <w:rFonts w:ascii="Calibri" w:hAnsi="Calibri"/>
                <w:sz w:val="22"/>
              </w:rPr>
              <w:t>Lyons, Martin J.</w:t>
            </w:r>
          </w:p>
        </w:tc>
        <w:tc>
          <w:tcPr>
            <w:tcW w:type="dxa" w:w="1234"/>
          </w:tcPr>
          <w:p>
            <w:r>
              <w:rPr>
                <w:rFonts w:ascii="Calibri" w:hAnsi="Calibri"/>
                <w:sz w:val="22"/>
              </w:rPr>
              <w:t>Director</w:t>
            </w:r>
          </w:p>
        </w:tc>
        <w:tc>
          <w:tcPr>
            <w:tcW w:type="dxa" w:w="1234"/>
          </w:tcPr>
          <w:p>
            <w:r>
              <w:rPr>
                <w:rFonts w:ascii="Calibri" w:hAnsi="Calibri"/>
                <w:sz w:val="22"/>
              </w:rPr>
              <w:t>Equity Grant (Code A)</w:t>
            </w:r>
          </w:p>
        </w:tc>
        <w:tc>
          <w:tcPr>
            <w:tcW w:type="dxa" w:w="1234"/>
          </w:tcPr>
          <w:p>
            <w:r>
              <w:rPr>
                <w:rFonts w:ascii="Calibri" w:hAnsi="Calibri"/>
                <w:sz w:val="22"/>
              </w:rPr>
              <w:t>61</w:t>
            </w:r>
          </w:p>
        </w:tc>
        <w:tc>
          <w:tcPr>
            <w:tcW w:type="dxa" w:w="1234"/>
          </w:tcPr>
          <w:p>
            <w:r>
              <w:rPr>
                <w:rFonts w:ascii="Calibri" w:hAnsi="Calibri"/>
                <w:sz w:val="22"/>
              </w:rPr>
              <w:t>May 29, 2026</w:t>
            </w:r>
          </w:p>
        </w:tc>
        <w:tc>
          <w:tcPr>
            <w:tcW w:type="dxa" w:w="1234"/>
          </w:tcPr>
          <w:p>
            <w:r>
              <w:rPr>
                <w:rFonts w:ascii="Calibri" w:hAnsi="Calibri"/>
                <w:sz w:val="22"/>
              </w:rPr>
              <w:t>June 2, 2026</w:t>
            </w:r>
          </w:p>
        </w:tc>
        <w:tc>
          <w:tcPr>
            <w:tcW w:type="dxa" w:w="1234"/>
          </w:tcPr>
          <w:p>
            <w:r>
              <w:rPr>
                <w:rFonts w:ascii="Calibri" w:hAnsi="Calibri"/>
                <w:sz w:val="22"/>
              </w:rPr>
              <w:t>Supplemental director equity grant; routine compensation</w:t>
            </w:r>
          </w:p>
        </w:tc>
      </w:tr>
      <w:tr>
        <w:tc>
          <w:tcPr>
            <w:tcW w:type="dxa" w:w="1234"/>
          </w:tcPr>
          <w:p>
            <w:r>
              <w:rPr>
                <w:rFonts w:ascii="Calibri" w:hAnsi="Calibri"/>
                <w:sz w:val="22"/>
              </w:rPr>
              <w:t>Pike, Thomas</w:t>
            </w:r>
          </w:p>
        </w:tc>
        <w:tc>
          <w:tcPr>
            <w:tcW w:type="dxa" w:w="1234"/>
          </w:tcPr>
          <w:p>
            <w:r>
              <w:rPr>
                <w:rFonts w:ascii="Calibri" w:hAnsi="Calibri"/>
                <w:sz w:val="22"/>
              </w:rPr>
              <w:t>Director</w:t>
            </w:r>
          </w:p>
        </w:tc>
        <w:tc>
          <w:tcPr>
            <w:tcW w:type="dxa" w:w="1234"/>
          </w:tcPr>
          <w:p>
            <w:r>
              <w:rPr>
                <w:rFonts w:ascii="Calibri" w:hAnsi="Calibri"/>
                <w:sz w:val="22"/>
              </w:rPr>
              <w:t>Equity Grant (Code A)</w:t>
            </w:r>
          </w:p>
        </w:tc>
        <w:tc>
          <w:tcPr>
            <w:tcW w:type="dxa" w:w="1234"/>
          </w:tcPr>
          <w:p>
            <w:r>
              <w:rPr>
                <w:rFonts w:ascii="Calibri" w:hAnsi="Calibri"/>
                <w:sz w:val="22"/>
              </w:rPr>
              <w:t>59</w:t>
            </w:r>
          </w:p>
        </w:tc>
        <w:tc>
          <w:tcPr>
            <w:tcW w:type="dxa" w:w="1234"/>
          </w:tcPr>
          <w:p>
            <w:r>
              <w:rPr>
                <w:rFonts w:ascii="Calibri" w:hAnsi="Calibri"/>
                <w:sz w:val="22"/>
              </w:rPr>
              <w:t>May 29, 2026</w:t>
            </w:r>
          </w:p>
        </w:tc>
        <w:tc>
          <w:tcPr>
            <w:tcW w:type="dxa" w:w="1234"/>
          </w:tcPr>
          <w:p>
            <w:r>
              <w:rPr>
                <w:rFonts w:ascii="Calibri" w:hAnsi="Calibri"/>
                <w:sz w:val="22"/>
              </w:rPr>
              <w:t>June 2, 2026</w:t>
            </w:r>
          </w:p>
        </w:tc>
        <w:tc>
          <w:tcPr>
            <w:tcW w:type="dxa" w:w="1234"/>
          </w:tcPr>
          <w:p>
            <w:r>
              <w:rPr>
                <w:rFonts w:ascii="Calibri" w:hAnsi="Calibri"/>
                <w:sz w:val="22"/>
              </w:rPr>
              <w:t>Supplemental director equity grant; routine compensation</w:t>
            </w:r>
          </w:p>
        </w:tc>
      </w:tr>
      <w:tr>
        <w:tc>
          <w:tcPr>
            <w:tcW w:type="dxa" w:w="1234"/>
          </w:tcPr>
          <w:p>
            <w:r>
              <w:rPr>
                <w:rFonts w:ascii="Calibri" w:hAnsi="Calibri"/>
                <w:sz w:val="22"/>
              </w:rPr>
              <w:t>Wajsgras, David C.</w:t>
            </w:r>
          </w:p>
        </w:tc>
        <w:tc>
          <w:tcPr>
            <w:tcW w:type="dxa" w:w="1234"/>
          </w:tcPr>
          <w:p>
            <w:r>
              <w:rPr>
                <w:rFonts w:ascii="Calibri" w:hAnsi="Calibri"/>
                <w:sz w:val="22"/>
              </w:rPr>
              <w:t>Director</w:t>
            </w:r>
          </w:p>
        </w:tc>
        <w:tc>
          <w:tcPr>
            <w:tcW w:type="dxa" w:w="1234"/>
          </w:tcPr>
          <w:p>
            <w:r>
              <w:rPr>
                <w:rFonts w:ascii="Calibri" w:hAnsi="Calibri"/>
                <w:sz w:val="22"/>
              </w:rPr>
              <w:t>Equity Grant (Code A)</w:t>
            </w:r>
          </w:p>
        </w:tc>
        <w:tc>
          <w:tcPr>
            <w:tcW w:type="dxa" w:w="1234"/>
          </w:tcPr>
          <w:p>
            <w:r>
              <w:rPr>
                <w:rFonts w:ascii="Calibri" w:hAnsi="Calibri"/>
                <w:sz w:val="22"/>
              </w:rPr>
              <w:t>69</w:t>
            </w:r>
          </w:p>
        </w:tc>
        <w:tc>
          <w:tcPr>
            <w:tcW w:type="dxa" w:w="1234"/>
          </w:tcPr>
          <w:p>
            <w:r>
              <w:rPr>
                <w:rFonts w:ascii="Calibri" w:hAnsi="Calibri"/>
                <w:sz w:val="22"/>
              </w:rPr>
              <w:t>May 29, 2026</w:t>
            </w:r>
          </w:p>
        </w:tc>
        <w:tc>
          <w:tcPr>
            <w:tcW w:type="dxa" w:w="1234"/>
          </w:tcPr>
          <w:p>
            <w:r>
              <w:rPr>
                <w:rFonts w:ascii="Calibri" w:hAnsi="Calibri"/>
                <w:sz w:val="22"/>
              </w:rPr>
              <w:t>June 2, 2026</w:t>
            </w:r>
          </w:p>
        </w:tc>
        <w:tc>
          <w:tcPr>
            <w:tcW w:type="dxa" w:w="1234"/>
          </w:tcPr>
          <w:p>
            <w:r>
              <w:rPr>
                <w:rFonts w:ascii="Calibri" w:hAnsi="Calibri"/>
                <w:sz w:val="22"/>
              </w:rPr>
              <w:t>Supplemental director equity grant; routine compensation</w:t>
            </w:r>
          </w:p>
        </w:tc>
      </w:tr>
    </w:tbl>
    <w:p>
      <w:r>
        <w:rPr>
          <w:rFonts w:ascii="Calibri" w:hAnsi="Calibri"/>
          <w:b/>
          <w:color w:val="525866"/>
          <w:sz w:val="22"/>
        </w:rPr>
        <w:t xml:space="preserve">Analysis: </w:t>
      </w:r>
      <w:r>
        <w:rPr>
          <w:rFonts w:ascii="Calibri" w:hAnsi="Calibri"/>
          <w:color w:val="525866"/>
          <w:sz w:val="22"/>
        </w:rPr>
        <w:t>All 13 transactions in the period since the Q1 earnings date (April 30, 2026) are equity compensation grants (SEC transaction code ‘A’ — Acquisition via grant/award), not open-market purchases or sales. There are zero open-market buys (code ‘P’) and zero open-market sales (code ‘S’) in the period. The Samborski grant of 8,101 shares on May 1 reflects his COO appointment effective that date and is a compensation event, not a discretionary signal. The clustered director grants on May 14 (313 shares each to 8 directors) are routine annual equity compensation. The absence of any open-market insider purchases despite the ~8% stock decline since April 30 is worth noting, though it is likely explained by trading blackout periods associated with the pending Lhoist acquisition announcement (announced June 29) and the upcoming Q2 earnings.</w:t>
      </w:r>
    </w:p>
    <w:p>
      <w:r>
        <w:rPr>
          <w:rFonts w:ascii="Calibri" w:hAnsi="Calibri"/>
          <w:b/>
          <w:color w:val="525866"/>
          <w:sz w:val="22"/>
        </w:rPr>
        <w:t xml:space="preserve">Source: </w:t>
      </w:r>
      <w:r>
        <w:rPr>
          <w:rFonts w:ascii="Calibri" w:hAnsi="Calibri"/>
          <w:color w:val="525866"/>
          <w:sz w:val="22"/>
        </w:rPr>
        <w:t>SEC Form 4 filings database. Transaction dates reflect actual execution dates; filing dates reflect SEC disclosure dates. All transactions are Form 4 filings. No Form 144 (intended sale) filings were identified for MLM in the period. Open-market buy/sell filter (codes P/S) returned no results for the period April 30 – July 29, 2026.</w:t>
      </w:r>
    </w:p>
    <w:p>
      <w:r>
        <w:br w:type="page"/>
      </w:r>
    </w:p>
    <w:p>
      <w:pPr>
        <w:pStyle w:val="Heading1"/>
        <w:pBdr>
          <w:bottom w:val="single" w:sz="4" w:space="1" w:color="FB9120"/>
        </w:pBdr>
      </w:pPr>
      <w:r>
        <w:rPr>
          <w:rFonts w:ascii="Calibri" w:hAnsi="Calibri"/>
          <w:b/>
          <w:color w:val="3B4259"/>
          <w:sz w:val="40"/>
        </w:rPr>
        <w:t>Appendix: Key Valuation Context</w:t>
      </w:r>
    </w:p>
    <w:p>
      <w:r>
        <w:rPr>
          <w:rFonts w:ascii="Calibri" w:hAnsi="Calibri"/>
          <w:b/>
          <w:color w:val="525866"/>
          <w:sz w:val="22"/>
        </w:rPr>
        <w:t xml:space="preserve">Current NTM Multiples (as of July 29, 2026): </w:t>
      </w:r>
      <w:r>
        <w:rPr>
          <w:rFonts w:ascii="Calibri" w:hAnsi="Calibri"/>
          <w:color w:val="525866"/>
          <w:sz w:val="22"/>
        </w:rPr>
        <w:t>EV/EBITDA: 15.46x | EV/Sales: 5.35x | P/E: 20.41x | P/FCF: 27.03x | P/Book: 2.90x | P/Sales: 4.69x</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Time Horizon</w:t>
            </w:r>
          </w:p>
        </w:tc>
        <w:tc>
          <w:tcPr>
            <w:tcW w:type="dxa" w:w="1440"/>
            <w:shd w:val="clear" w:color="auto" w:fill="3B4259"/>
          </w:tcPr>
          <w:p>
            <w:r>
              <w:rPr>
                <w:rFonts w:ascii="Calibri" w:hAnsi="Calibri"/>
                <w:b/>
                <w:color w:val="FFFFFF"/>
                <w:sz w:val="22"/>
              </w:rPr>
              <w:t>MLM Price Change</w:t>
            </w:r>
          </w:p>
        </w:tc>
        <w:tc>
          <w:tcPr>
            <w:tcW w:type="dxa" w:w="1440"/>
            <w:shd w:val="clear" w:color="auto" w:fill="3B4259"/>
          </w:tcPr>
          <w:p>
            <w:r>
              <w:rPr>
                <w:rFonts w:ascii="Calibri" w:hAnsi="Calibri"/>
                <w:b/>
                <w:color w:val="FFFFFF"/>
                <w:sz w:val="22"/>
              </w:rPr>
              <w:t>NTM EV/EBITDA (Start)</w:t>
            </w:r>
          </w:p>
        </w:tc>
        <w:tc>
          <w:tcPr>
            <w:tcW w:type="dxa" w:w="1440"/>
            <w:shd w:val="clear" w:color="auto" w:fill="3B4259"/>
          </w:tcPr>
          <w:p>
            <w:r>
              <w:rPr>
                <w:rFonts w:ascii="Calibri" w:hAnsi="Calibri"/>
                <w:b/>
                <w:color w:val="FFFFFF"/>
                <w:sz w:val="22"/>
              </w:rPr>
              <w:t>NTM EV/EBITDA (Current)</w:t>
            </w:r>
          </w:p>
        </w:tc>
        <w:tc>
          <w:tcPr>
            <w:tcW w:type="dxa" w:w="1440"/>
            <w:shd w:val="clear" w:color="auto" w:fill="3B4259"/>
          </w:tcPr>
          <w:p>
            <w:r>
              <w:rPr>
                <w:rFonts w:ascii="Calibri" w:hAnsi="Calibri"/>
                <w:b/>
                <w:color w:val="FFFFFF"/>
                <w:sz w:val="22"/>
              </w:rPr>
              <w:t>Multiple Change</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-2.0%</w:t>
            </w:r>
          </w:p>
        </w:tc>
        <w:tc>
          <w:tcPr>
            <w:tcW w:type="dxa" w:w="1440"/>
          </w:tcPr>
          <w:p>
            <w:r>
              <w:rPr>
                <w:rFonts w:ascii="Calibri" w:hAnsi="Calibri"/>
                <w:sz w:val="22"/>
              </w:rPr>
              <w:t>16.49x</w:t>
            </w:r>
          </w:p>
        </w:tc>
        <w:tc>
          <w:tcPr>
            <w:tcW w:type="dxa" w:w="1440"/>
          </w:tcPr>
          <w:p>
            <w:r>
              <w:rPr>
                <w:rFonts w:ascii="Calibri" w:hAnsi="Calibri"/>
                <w:sz w:val="22"/>
              </w:rPr>
              <w:t>15.46x</w:t>
            </w:r>
          </w:p>
        </w:tc>
        <w:tc>
          <w:tcPr>
            <w:tcW w:type="dxa" w:w="1440"/>
          </w:tcPr>
          <w:p>
            <w:r>
              <w:rPr>
                <w:rFonts w:ascii="Calibri" w:hAnsi="Calibri"/>
                <w:b/>
                <w:color w:val="E5484D"/>
                <w:sz w:val="22"/>
              </w:rPr>
              <w:t>-6.2%</w:t>
            </w:r>
          </w:p>
        </w:tc>
        <w:tc>
          <w:tcPr>
            <w:tcW w:type="dxa" w:w="1440"/>
          </w:tcPr>
          <w:p>
            <w:r>
              <w:rPr>
                <w:rFonts w:ascii="Calibri" w:hAnsi="Calibri"/>
                <w:sz w:val="22"/>
              </w:rPr>
              <w:t>Multiple compression (Lhoist deal uncertainty)</w:t>
            </w:r>
          </w:p>
        </w:tc>
      </w:tr>
      <w:tr>
        <w:tc>
          <w:tcPr>
            <w:tcW w:type="dxa" w:w="1440"/>
          </w:tcPr>
          <w:p>
            <w:r>
              <w:rPr>
                <w:rFonts w:ascii="Calibri" w:hAnsi="Calibri"/>
                <w:sz w:val="22"/>
              </w:rPr>
              <w:t>3 Months</w:t>
            </w:r>
          </w:p>
        </w:tc>
        <w:tc>
          <w:tcPr>
            <w:tcW w:type="dxa" w:w="1440"/>
          </w:tcPr>
          <w:p>
            <w:r>
              <w:rPr>
                <w:rFonts w:ascii="Calibri" w:hAnsi="Calibri"/>
                <w:sz w:val="22"/>
              </w:rPr>
              <w:t>-7.2%</w:t>
            </w:r>
          </w:p>
        </w:tc>
        <w:tc>
          <w:tcPr>
            <w:tcW w:type="dxa" w:w="1440"/>
          </w:tcPr>
          <w:p>
            <w:r>
              <w:rPr>
                <w:rFonts w:ascii="Calibri" w:hAnsi="Calibri"/>
                <w:sz w:val="22"/>
              </w:rPr>
              <w:t>16.75x</w:t>
            </w:r>
          </w:p>
        </w:tc>
        <w:tc>
          <w:tcPr>
            <w:tcW w:type="dxa" w:w="1440"/>
          </w:tcPr>
          <w:p>
            <w:r>
              <w:rPr>
                <w:rFonts w:ascii="Calibri" w:hAnsi="Calibri"/>
                <w:sz w:val="22"/>
              </w:rPr>
              <w:t>15.46x</w:t>
            </w:r>
          </w:p>
        </w:tc>
        <w:tc>
          <w:tcPr>
            <w:tcW w:type="dxa" w:w="1440"/>
          </w:tcPr>
          <w:p>
            <w:r>
              <w:rPr>
                <w:rFonts w:ascii="Calibri" w:hAnsi="Calibri"/>
                <w:b/>
                <w:color w:val="E5484D"/>
                <w:sz w:val="22"/>
              </w:rPr>
              <w:t>-7.7%</w:t>
            </w:r>
          </w:p>
        </w:tc>
        <w:tc>
          <w:tcPr>
            <w:tcW w:type="dxa" w:w="1440"/>
          </w:tcPr>
          <w:p>
            <w:r>
              <w:rPr>
                <w:rFonts w:ascii="Calibri" w:hAnsi="Calibri"/>
                <w:sz w:val="22"/>
              </w:rPr>
              <w:t>Multiple compression; estimates flat</w:t>
            </w:r>
          </w:p>
        </w:tc>
      </w:tr>
      <w:tr>
        <w:tc>
          <w:tcPr>
            <w:tcW w:type="dxa" w:w="1440"/>
          </w:tcPr>
          <w:p>
            <w:r>
              <w:rPr>
                <w:rFonts w:ascii="Calibri" w:hAnsi="Calibri"/>
                <w:sz w:val="22"/>
              </w:rPr>
              <w:t>6 Months</w:t>
            </w:r>
          </w:p>
        </w:tc>
        <w:tc>
          <w:tcPr>
            <w:tcW w:type="dxa" w:w="1440"/>
          </w:tcPr>
          <w:p>
            <w:r>
              <w:rPr>
                <w:rFonts w:ascii="Calibri" w:hAnsi="Calibri"/>
                <w:sz w:val="22"/>
              </w:rPr>
              <w:t>-12.3%</w:t>
            </w:r>
          </w:p>
        </w:tc>
        <w:tc>
          <w:tcPr>
            <w:tcW w:type="dxa" w:w="1440"/>
          </w:tcPr>
          <w:p>
            <w:r>
              <w:rPr>
                <w:rFonts w:ascii="Calibri" w:hAnsi="Calibri"/>
                <w:sz w:val="22"/>
              </w:rPr>
              <w:t>17.78x</w:t>
            </w:r>
          </w:p>
        </w:tc>
        <w:tc>
          <w:tcPr>
            <w:tcW w:type="dxa" w:w="1440"/>
          </w:tcPr>
          <w:p>
            <w:r>
              <w:rPr>
                <w:rFonts w:ascii="Calibri" w:hAnsi="Calibri"/>
                <w:sz w:val="22"/>
              </w:rPr>
              <w:t>15.46x</w:t>
            </w:r>
          </w:p>
        </w:tc>
        <w:tc>
          <w:tcPr>
            <w:tcW w:type="dxa" w:w="1440"/>
          </w:tcPr>
          <w:p>
            <w:r>
              <w:rPr>
                <w:rFonts w:ascii="Calibri" w:hAnsi="Calibri"/>
                <w:b/>
                <w:color w:val="E5484D"/>
                <w:sz w:val="22"/>
              </w:rPr>
              <w:t>-13.0%</w:t>
            </w:r>
          </w:p>
        </w:tc>
        <w:tc>
          <w:tcPr>
            <w:tcW w:type="dxa" w:w="1440"/>
          </w:tcPr>
          <w:p>
            <w:r>
              <w:rPr>
                <w:rFonts w:ascii="Calibri" w:hAnsi="Calibri"/>
                <w:sz w:val="22"/>
              </w:rPr>
              <w:t>Multiple compression dominant; earnings estimates broadly flat</w:t>
            </w:r>
          </w:p>
        </w:tc>
      </w:tr>
      <w:tr>
        <w:tc>
          <w:tcPr>
            <w:tcW w:type="dxa" w:w="1440"/>
          </w:tcPr>
          <w:p>
            <w:r>
              <w:rPr>
                <w:rFonts w:ascii="Calibri" w:hAnsi="Calibri"/>
                <w:sz w:val="22"/>
              </w:rPr>
              <w:t>12 Months</w:t>
            </w:r>
          </w:p>
        </w:tc>
        <w:tc>
          <w:tcPr>
            <w:tcW w:type="dxa" w:w="1440"/>
          </w:tcPr>
          <w:p>
            <w:r>
              <w:rPr>
                <w:rFonts w:ascii="Calibri" w:hAnsi="Calibri"/>
                <w:sz w:val="22"/>
              </w:rPr>
              <w:t>-1.1%</w:t>
            </w:r>
          </w:p>
        </w:tc>
        <w:tc>
          <w:tcPr>
            <w:tcW w:type="dxa" w:w="1440"/>
          </w:tcPr>
          <w:p>
            <w:r>
              <w:rPr>
                <w:rFonts w:ascii="Calibri" w:hAnsi="Calibri"/>
                <w:sz w:val="22"/>
              </w:rPr>
              <w:t>16.78x</w:t>
            </w:r>
          </w:p>
        </w:tc>
        <w:tc>
          <w:tcPr>
            <w:tcW w:type="dxa" w:w="1440"/>
          </w:tcPr>
          <w:p>
            <w:r>
              <w:rPr>
                <w:rFonts w:ascii="Calibri" w:hAnsi="Calibri"/>
                <w:sz w:val="22"/>
              </w:rPr>
              <w:t>15.46x</w:t>
            </w:r>
          </w:p>
        </w:tc>
        <w:tc>
          <w:tcPr>
            <w:tcW w:type="dxa" w:w="1440"/>
          </w:tcPr>
          <w:p>
            <w:r>
              <w:rPr>
                <w:rFonts w:ascii="Calibri" w:hAnsi="Calibri"/>
                <w:b/>
                <w:color w:val="E5484D"/>
                <w:sz w:val="22"/>
              </w:rPr>
              <w:t>-7.9%</w:t>
            </w:r>
          </w:p>
        </w:tc>
        <w:tc>
          <w:tcPr>
            <w:tcW w:type="dxa" w:w="1440"/>
          </w:tcPr>
          <w:p>
            <w:r>
              <w:rPr>
                <w:rFonts w:ascii="Calibri" w:hAnsi="Calibri"/>
                <w:sz w:val="22"/>
              </w:rPr>
              <w:t>Multiple compression offset by modest earnings growth</w:t>
            </w:r>
          </w:p>
        </w:tc>
      </w:tr>
    </w:tbl>
    <w:p>
      <w:r>
        <w:rPr>
          <w:rFonts w:ascii="Calibri" w:hAnsi="Calibri"/>
          <w:b/>
          <w:color w:val="525866"/>
          <w:sz w:val="22"/>
        </w:rPr>
        <w:t xml:space="preserve">Valuation Commentary: </w:t>
      </w:r>
      <w:r>
        <w:rPr>
          <w:rFonts w:ascii="Calibri" w:hAnsi="Calibri"/>
          <w:color w:val="525866"/>
          <w:sz w:val="22"/>
        </w:rPr>
        <w:t>MLM’s stock underperformance across all time horizons is driven almost entirely by multiple compression rather than estimate cuts — NTM EV/EBITDA has contracted from ~17.8x six months ago to ~15.5x today, while full-year EBITDA estimates are essentially flat. The compression reflects: (1) the Lhoist acquisition announcement introducing leverage and dilution uncertainty, (2) the broader de-rating of aggregates/materials names as interest rate expectations shifted, and (3) the pattern of EBITDA misses in recent quarters eroding premium valuation confidence. At 15.5x NTM EV/EBITDA, MLM trades at a discount to its 5-year historical average of ~17–18x, suggesting the market has already priced in meaningful execution risk on the Lhoist deal. A clean Q2 beat with constructive Lhoist commentary could catalyze multiple re-expansion.</w:t>
      </w:r>
    </w:p>
    <w:p>
      <w:r>
        <w:rPr>
          <w:rFonts w:ascii="Calibri" w:hAnsi="Calibri"/>
          <w:b/>
          <w:color w:val="525866"/>
          <w:sz w:val="22"/>
        </w:rPr>
        <w:t xml:space="preserve">Source: </w:t>
      </w:r>
      <w:r>
        <w:rPr>
          <w:rFonts w:ascii="Calibri" w:hAnsi="Calibri"/>
          <w:color w:val="525866"/>
          <w:sz w:val="22"/>
        </w:rPr>
        <w:t>Stock Performance Decomposition data as of July 29, 2026. NTM multiples based on next twelve months consensus estimates from Visible Alpha.</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