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o-earnings-predictions--2026-07-30"/>
    <w:p>
      <w:pPr>
        <w:pStyle w:val="Heading1"/>
      </w:pPr>
      <w:r>
        <w:t xml:space="preserve">MO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~$1.52 vs. cons $1.50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~$5.38B vs. cons $5.36B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Smokeables Segment Adjusted OCI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~65.4% vs. cons ~64.9%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Diluted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5.56</m:t>
              </m:r>
              <m:r>
                <m:rPr>
                  <m:sty m:val="p"/>
                </m:rPr>
                <m:t>−</m:t>
              </m:r>
            </m:oMath>
            <w:r>
              <w:t xml:space="preserve">5.72 reaffirmed (possible slight narrowing to</w:t>
            </w:r>
            <w:r>
              <w:t xml:space="preserve"> </w:t>
            </w:r>
            <m:oMath>
              <m:r>
                <m:t>5.60</m:t>
              </m:r>
              <m:r>
                <m:rPr>
                  <m:sty m:val="p"/>
                </m:rPr>
                <m:t>−</m:t>
              </m:r>
            </m:oMath>
            <w:r>
              <w:t xml:space="preserve">5.72) vs. cons $5.64 midpoint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Annual Dividend Increase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~4.5% hike to ~</w:t>
            </w:r>
            <m:oMath>
              <m:r>
                <m:t>1.108</m:t>
              </m:r>
              <m:r>
                <m:rPr>
                  <m:sty m:val="p"/>
                </m:rPr>
                <m:t>/</m:t>
              </m:r>
              <m:r>
                <m:t>s</m:t>
              </m:r>
              <m:r>
                <m:t>h</m:t>
              </m:r>
              <m:r>
                <m:t>a</m:t>
              </m:r>
              <m:r>
                <m:t>r</m:t>
              </m:r>
              <m:r>
                <m:t>e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  <m:r>
                <m:t>4.0</m:t>
              </m:r>
            </m:oMath>
            <w:r>
              <w:t xml:space="preserve">1.102/share (declared with Q2 2026 earnings, effective Q3 2026 payment)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Smokeables Shipment Volume Decline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~-7.5% vs. cons ~-8.5%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-1.8% (FADE)</w:t>
            </w:r>
          </w:p>
        </w:tc>
        <w:tc>
          <w:tcPr/>
          <w:p>
            <w:pPr>
              <w:pStyle w:val="Compact"/>
            </w:pPr>
            <w:r>
              <w:t xml:space="preserve">Q1 already reset the bar higher with 'more balanced' 1H/2H phasing, so an in-line-to-modest-beat Q2 with reaffirmed (not raised) FY26 guidance leaves little fresh upside since the stock trades above average sell-side targets after a large YTD run; any initial pop from EPS/margin beat likely fades over the week as analysts model the FDA flavored-vape enforcement-discretion risk into 2H cross-category volume assumptions and note on!'s continued share loss to Zyn, pulling out-period estimates down even if headline Q2 numbers look fine.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2026-07-29T18:28:07Z</dcterms:created>
  <dcterms:modified xsi:type="dcterms:W3CDTF">2026-07-29T18:28:07Z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