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ltria-nyse-mo--q2-2026-earnings-preview"/>
    <w:p>
      <w:pPr>
        <w:pStyle w:val="Heading1"/>
      </w:pPr>
      <w:r>
        <w:t xml:space="preserve">Altria (NYSE: MO) — Q2 2026 Earnings Preview</w:t>
      </w:r>
    </w:p>
    <w:p>
      <w:pPr>
        <w:pStyle w:val="FirstParagraph"/>
      </w:pPr>
      <w:r>
        <w:rPr>
          <w:b/>
          <w:bCs/>
        </w:rPr>
        <w:t xml:space="preserve">Report:</w:t>
      </w:r>
      <w:r>
        <w:t xml:space="preserve"> </w:t>
      </w:r>
      <w:r>
        <w:t xml:space="preserve">Thursday, July 30, 2026, at approximately 7:00 a.m. ET</w:t>
      </w:r>
      <w:r>
        <w:br/>
      </w:r>
      <w:r>
        <w:rPr>
          <w:b/>
          <w:bCs/>
        </w:rPr>
        <w:t xml:space="preserve">Conference call:</w:t>
      </w:r>
      <w:r>
        <w:t xml:space="preserve"> </w:t>
      </w:r>
      <w:r>
        <w:t xml:space="preserve">9:00 a.m. ET</w:t>
      </w:r>
      <w:r>
        <w:br/>
      </w:r>
      <w:r>
        <w:rPr>
          <w:b/>
          <w:bCs/>
        </w:rPr>
        <w:t xml:space="preserve">Management:</w:t>
      </w:r>
      <w:r>
        <w:t xml:space="preserve"> </w:t>
      </w:r>
      <w:r>
        <w:t xml:space="preserve">CEO Sal Mancuso and CFO Heather Newman (</w:t>
      </w:r>
      <w:hyperlink r:id="rId9">
        <w:r>
          <w:rPr>
            <w:rStyle w:val="Hyperlink"/>
          </w:rPr>
          <w:t xml:space="preserve">investor.altria.com</w:t>
        </w:r>
      </w:hyperlink>
      <w:r>
        <w:t xml:space="preserve">)</w:t>
      </w:r>
    </w:p>
    <w:bookmarkStart w:id="11" w:name="executive-view"/>
    <w:p>
      <w:pPr>
        <w:pStyle w:val="Heading2"/>
      </w:pPr>
      <w:r>
        <w:t xml:space="preserve">Executive view</w:t>
      </w:r>
    </w:p>
    <w:p>
      <w:pPr>
        <w:pStyle w:val="FirstParagraph"/>
      </w:pPr>
      <w:r>
        <w:t xml:space="preserve">Altria enters the quarter with strong operating momentum—and a substantially higher valuation—after first-quarter adjusted EPS grew 7.3% and exceeded expectations. The central question is no longer whether the cigarette business can offset declining volumes with price and productivity. It is whether the unusually favorable first-quarter combination of moderating cigarette declines, strong pricing, duty-drawback benefits and share repurchases can persist strongly enough to warrant higher full-year guidance.</w:t>
      </w:r>
    </w:p>
    <w:p>
      <w:pPr>
        <w:pStyle w:val="BodyText"/>
      </w:pPr>
      <w:r>
        <w:t xml:space="preserve">The underlying setup is favorable. Q2 2025 was a weak volume comparison, with adjusted domestic cigarette shipments down 10.5%, while the decline moderated to 4% in Q1 2026. If that improvement largely held through Q2, smokeable profit growth should remain healthy. At the same time, investors need evidence that the nationwide launch of on! PLUS is generating genuine consumer demand rather than merely pipeline inventory. (</w:t>
      </w:r>
      <w:hyperlink r:id="rId10">
        <w:r>
          <w:rPr>
            <w:rStyle w:val="Hyperlink"/>
          </w:rPr>
          <w:t xml:space="preserve">investor.altria.com</w:t>
        </w:r>
      </w:hyperlink>
      <w:r>
        <w:t xml:space="preserve">)</w:t>
      </w:r>
    </w:p>
    <w:p>
      <w:pPr>
        <w:pStyle w:val="BodyText"/>
      </w:pPr>
      <w:r>
        <w:t xml:space="preserve">With MO closing at</w:t>
      </w:r>
      <w:r>
        <w:t xml:space="preserve"> </w:t>
      </w:r>
      <w:r>
        <w:rPr>
          <w:b/>
          <w:bCs/>
        </w:rPr>
        <w:t xml:space="preserve">$75.03 on July 29</w:t>
      </w:r>
      <w:r>
        <w:t xml:space="preserve">, the shares have risen approximately</w:t>
      </w:r>
      <w:r>
        <w:t xml:space="preserve"> </w:t>
      </w:r>
      <w:r>
        <w:rPr>
          <w:b/>
          <w:bCs/>
        </w:rPr>
        <w:t xml:space="preserve">30% year to date</w:t>
      </w:r>
      <w:r>
        <w:t xml:space="preserve"> </w:t>
      </w:r>
      <w:r>
        <w:t xml:space="preserve">and</w:t>
      </w:r>
      <w:r>
        <w:t xml:space="preserve"> </w:t>
      </w:r>
      <w:r>
        <w:rPr>
          <w:b/>
          <w:bCs/>
        </w:rPr>
        <w:t xml:space="preserve">10% since the day before Q1 earnings</w:t>
      </w:r>
      <w:r>
        <w:t xml:space="preserve">. At roughly</w:t>
      </w:r>
      <w:r>
        <w:t xml:space="preserve"> </w:t>
      </w:r>
      <w:r>
        <w:rPr>
          <w:b/>
          <w:bCs/>
        </w:rPr>
        <w:t xml:space="preserve">13.2 times</w:t>
      </w:r>
      <w:r>
        <w:t xml:space="preserve"> </w:t>
      </w:r>
      <w:r>
        <w:t xml:space="preserve">the 2026 consensus EPS estimate and a dividend yield near</w:t>
      </w:r>
      <w:r>
        <w:t xml:space="preserve"> </w:t>
      </w:r>
      <w:r>
        <w:rPr>
          <w:b/>
          <w:bCs/>
        </w:rPr>
        <w:t xml:space="preserve">5.7%</w:t>
      </w:r>
      <w:r>
        <w:t xml:space="preserve">, the stock remains inexpensive in absolute terms, but the earnings bar is much higher than it was three months ago.</w:t>
      </w:r>
    </w:p>
    <w:bookmarkEnd w:id="11"/>
    <w:bookmarkStart w:id="13" w:name="consensus-snapshot"/>
    <w:p>
      <w:pPr>
        <w:pStyle w:val="Heading2"/>
      </w:pPr>
      <w:r>
        <w:t xml:space="preserve">Consensus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Adjusted EPS</w:t>
            </w:r>
          </w:p>
        </w:tc>
        <w:tc>
          <w:tcPr/>
          <w:p>
            <w:pPr>
              <w:pStyle w:val="Compact"/>
              <w:jc w:val="right"/>
            </w:pPr>
            <w:r>
              <w:rPr>
                <w:b/>
                <w:bCs/>
              </w:rPr>
              <w:t xml:space="preserve">$1.50</w:t>
            </w:r>
          </w:p>
        </w:tc>
        <w:tc>
          <w:tcPr/>
          <w:p>
            <w:pPr>
              <w:pStyle w:val="Compact"/>
              <w:jc w:val="right"/>
            </w:pPr>
            <w:r>
              <w:t xml:space="preserve">$1.44</w:t>
            </w:r>
          </w:p>
        </w:tc>
        <w:tc>
          <w:tcPr/>
          <w:p>
            <w:pPr>
              <w:pStyle w:val="Compact"/>
              <w:jc w:val="right"/>
            </w:pPr>
            <w:r>
              <w:rPr>
                <w:b/>
                <w:bCs/>
              </w:rPr>
              <w:t xml:space="preserve">+4.2%</w:t>
            </w:r>
          </w:p>
        </w:tc>
      </w:tr>
      <w:tr>
        <w:tc>
          <w:tcPr/>
          <w:p>
            <w:pPr>
              <w:pStyle w:val="Compact"/>
            </w:pPr>
            <w:r>
              <w:t xml:space="preserve">Revenue after excise taxes</w:t>
            </w:r>
          </w:p>
        </w:tc>
        <w:tc>
          <w:tcPr/>
          <w:p>
            <w:pPr>
              <w:pStyle w:val="Compact"/>
              <w:jc w:val="right"/>
            </w:pPr>
            <w:r>
              <w:rPr>
                <w:b/>
                <w:bCs/>
              </w:rPr>
              <w:t xml:space="preserve">~$5.3B</w:t>
            </w:r>
          </w:p>
        </w:tc>
        <w:tc>
          <w:tcPr/>
          <w:p>
            <w:pPr>
              <w:pStyle w:val="Compact"/>
              <w:jc w:val="right"/>
            </w:pPr>
            <w:r>
              <w:t xml:space="preserve">$5.29B</w:t>
            </w:r>
          </w:p>
        </w:tc>
        <w:tc>
          <w:tcPr/>
          <w:p>
            <w:pPr>
              <w:pStyle w:val="Compact"/>
              <w:jc w:val="right"/>
            </w:pPr>
            <w:r>
              <w:t xml:space="preserve">Approximately flat</w:t>
            </w:r>
          </w:p>
        </w:tc>
      </w:tr>
      <w:tr>
        <w:tc>
          <w:tcPr/>
          <w:p>
            <w:pPr>
              <w:pStyle w:val="Compact"/>
            </w:pPr>
            <w:r>
              <w:t xml:space="preserve">FY 2026 adjusted EPS</w:t>
            </w:r>
          </w:p>
        </w:tc>
        <w:tc>
          <w:tcPr/>
          <w:p>
            <w:pPr>
              <w:pStyle w:val="Compact"/>
              <w:jc w:val="right"/>
            </w:pPr>
            <w:r>
              <w:rPr>
                <w:b/>
                <w:bCs/>
              </w:rPr>
              <w:t xml:space="preserve">$5.70</w:t>
            </w:r>
          </w:p>
        </w:tc>
        <w:tc>
          <w:tcPr/>
          <w:p>
            <w:pPr>
              <w:pStyle w:val="Compact"/>
              <w:jc w:val="right"/>
            </w:pPr>
            <w:r>
              <w:t xml:space="preserve">$5.42 in 2025</w:t>
            </w:r>
          </w:p>
        </w:tc>
        <w:tc>
          <w:tcPr/>
          <w:p>
            <w:pPr>
              <w:pStyle w:val="Compact"/>
              <w:jc w:val="right"/>
            </w:pPr>
            <w:r>
              <w:rPr>
                <w:b/>
                <w:bCs/>
              </w:rPr>
              <w:t xml:space="preserve">+5.2%</w:t>
            </w:r>
          </w:p>
        </w:tc>
      </w:tr>
    </w:tbl>
    <w:p>
      <w:pPr>
        <w:pStyle w:val="BodyText"/>
      </w:pPr>
      <w:r>
        <w:t xml:space="preserve">The published Q2 EPS range is approximately</w:t>
      </w:r>
      <w:r>
        <w:t xml:space="preserve"> </w:t>
      </w:r>
      <m:oMath>
        <m:r>
          <m:t>1.48</m:t>
        </m:r>
        <m:r>
          <m:rPr>
            <m:sty m:val="p"/>
          </m:rPr>
          <m:t>–</m:t>
        </m:r>
      </m:oMath>
      <w:r>
        <w:rPr>
          <w:b/>
          <w:bCs/>
        </w:rPr>
        <w:t xml:space="preserve">1.53</w:t>
      </w:r>
      <w:r>
        <w:t xml:space="preserve">, while full-year consensus of</w:t>
      </w:r>
      <w:r>
        <w:t xml:space="preserve"> </w:t>
      </w:r>
      <m:oMath>
        <m:r>
          <m:t>5.70</m:t>
        </m:r>
        <m:r>
          <m:t>s</m:t>
        </m:r>
        <m:r>
          <m:t>i</m:t>
        </m:r>
        <m:r>
          <m:t>t</m:t>
        </m:r>
        <m:r>
          <m:t>s</m:t>
        </m:r>
        <m:r>
          <m:t>n</m:t>
        </m:r>
        <m:r>
          <m:t>e</m:t>
        </m:r>
        <m:r>
          <m:t>a</m:t>
        </m:r>
        <m:r>
          <m:t>r</m:t>
        </m:r>
        <m:r>
          <m:t>t</m:t>
        </m:r>
        <m:r>
          <m:t>h</m:t>
        </m:r>
        <m:r>
          <m:t>e</m:t>
        </m:r>
        <m:r>
          <m:t>t</m:t>
        </m:r>
        <m:r>
          <m:t>o</m:t>
        </m:r>
        <m:r>
          <m:t>p</m:t>
        </m:r>
        <m:r>
          <m:t>o</m:t>
        </m:r>
        <m:r>
          <m:t>f</m:t>
        </m:r>
        <m:r>
          <m:t>m</m:t>
        </m:r>
        <m:r>
          <m:t>a</m:t>
        </m:r>
        <m:r>
          <m:t>n</m:t>
        </m:r>
        <m:r>
          <m:t>a</m:t>
        </m:r>
        <m:r>
          <m:t>g</m:t>
        </m:r>
        <m:r>
          <m:t>e</m:t>
        </m:r>
        <m:r>
          <m:t>m</m:t>
        </m:r>
        <m:r>
          <m:t>e</m:t>
        </m:r>
        <m:r>
          <m:t>n</m:t>
        </m:r>
        <m:r>
          <m:t>t</m:t>
        </m:r>
        <m:r>
          <m:rPr>
            <m:sty m:val="p"/>
          </m:rPr>
          <m:t>’</m:t>
        </m:r>
        <m:r>
          <m:t>s</m:t>
        </m:r>
        <m:r>
          <m:t>e</m:t>
        </m:r>
        <m:r>
          <m:t>x</m:t>
        </m:r>
        <m:r>
          <m:t>i</m:t>
        </m:r>
        <m:r>
          <m:t>s</m:t>
        </m:r>
        <m:r>
          <m:t>t</m:t>
        </m:r>
        <m:r>
          <m:t>i</m:t>
        </m:r>
        <m:r>
          <m:t>n</m:t>
        </m:r>
        <m:r>
          <m:t>g</m:t>
        </m:r>
        <m:r>
          <m:rPr>
            <m:sty m:val="p"/>
          </m:rPr>
          <m:t>*</m:t>
        </m:r>
        <m:r>
          <m:rPr>
            <m:sty m:val="p"/>
          </m:rPr>
          <m:t>*</m:t>
        </m:r>
      </m:oMath>
      <w:r>
        <w:t xml:space="preserve">5.56–$5.72** guidance range. (</w:t>
      </w:r>
      <w:hyperlink r:id="rId12">
        <w:r>
          <w:rPr>
            <w:rStyle w:val="Hyperlink"/>
          </w:rPr>
          <w:t xml:space="preserve">barchart.com</w:t>
        </w:r>
      </w:hyperlink>
      <w:r>
        <w:t xml:space="preserve">)</w:t>
      </w:r>
    </w:p>
    <w:bookmarkEnd w:id="13"/>
    <w:bookmarkStart w:id="24" w:name="what-matters-most"/>
    <w:p>
      <w:pPr>
        <w:pStyle w:val="Heading2"/>
      </w:pPr>
      <w:r>
        <w:t xml:space="preserve">What matters most</w:t>
      </w:r>
    </w:p>
    <w:bookmarkStart w:id="14" w:name="Xb992929b522211e26b713e1d2429093ae8a3d43"/>
    <w:p>
      <w:pPr>
        <w:pStyle w:val="Heading3"/>
      </w:pPr>
      <w:r>
        <w:t xml:space="preserve">1. Cigarette volumes—and whether the Q1 improvement was sustainable</w:t>
      </w:r>
    </w:p>
    <w:p>
      <w:pPr>
        <w:pStyle w:val="FirstParagraph"/>
      </w:pPr>
      <w:r>
        <w:t xml:space="preserve">This is the most important operating metric in the report.</w:t>
      </w:r>
    </w:p>
    <w:p>
      <w:pPr>
        <w:pStyle w:val="BodyText"/>
      </w:pPr>
      <w:r>
        <w:t xml:space="preserve">In Q1, Altria estimated that domestic cigarette shipments declined only 4% after inventory adjustments, versus a 5% industry decline. That was a significant improvement from Q2 2025, when Altria’s adjusted shipments fell 10.5% and industry volumes declined approximately 8.5%. Management attributed the recent moderation partly to slower consumer migration into illicit disposable e-vapor products. (</w:t>
      </w:r>
      <w:hyperlink r:id="rId10">
        <w:r>
          <w:rPr>
            <w:rStyle w:val="Hyperlink"/>
          </w:rPr>
          <w:t xml:space="preserve">investor.altria.com</w:t>
        </w:r>
      </w:hyperlink>
      <w:r>
        <w:t xml:space="preserve">)</w:t>
      </w:r>
    </w:p>
    <w:p>
      <w:pPr>
        <w:pStyle w:val="BodyText"/>
      </w:pPr>
      <w:r>
        <w:t xml:space="preserve">Because the year-ago comparison is so favorable, Q2 should show much better reported volume trends even if conditions weakened somewhat from Q1. The market will likely view an adjusted decline in the</w:t>
      </w:r>
      <w:r>
        <w:t xml:space="preserve"> </w:t>
      </w:r>
      <w:r>
        <w:rPr>
          <w:b/>
          <w:bCs/>
        </w:rPr>
        <w:t xml:space="preserve">mid-single digits</w:t>
      </w:r>
      <w:r>
        <w:t xml:space="preserve"> </w:t>
      </w:r>
      <w:r>
        <w:t xml:space="preserve">as broadly constructive. A return toward high-single-digit declines would call into question the Q1 thesis and put more pressure on pricing.</w:t>
      </w:r>
    </w:p>
    <w:p>
      <w:pPr>
        <w:pStyle w:val="BodyText"/>
      </w:pPr>
      <w:r>
        <w:t xml:space="preserve">Investors should focus on:</w:t>
      </w:r>
    </w:p>
    <w:p>
      <w:pPr>
        <w:pStyle w:val="Compact"/>
        <w:numPr>
          <w:ilvl w:val="0"/>
          <w:numId w:val="1001"/>
        </w:numPr>
      </w:pPr>
      <w:r>
        <w:t xml:space="preserve">Altria’s adjusted domestic cigarette volume decline.</w:t>
      </w:r>
    </w:p>
    <w:p>
      <w:pPr>
        <w:pStyle w:val="Compact"/>
        <w:numPr>
          <w:ilvl w:val="0"/>
          <w:numId w:val="1001"/>
        </w:numPr>
      </w:pPr>
      <w:r>
        <w:t xml:space="preserve">The estimated total industry decline.</w:t>
      </w:r>
    </w:p>
    <w:p>
      <w:pPr>
        <w:pStyle w:val="Compact"/>
        <w:numPr>
          <w:ilvl w:val="0"/>
          <w:numId w:val="1001"/>
        </w:numPr>
      </w:pPr>
      <w:r>
        <w:t xml:space="preserve">Whether Altria continues to outperform the industry.</w:t>
      </w:r>
    </w:p>
    <w:p>
      <w:pPr>
        <w:pStyle w:val="Compact"/>
        <w:numPr>
          <w:ilvl w:val="0"/>
          <w:numId w:val="1001"/>
        </w:numPr>
      </w:pPr>
      <w:r>
        <w:t xml:space="preserve">The balance between Marlboro and discount brands.</w:t>
      </w:r>
    </w:p>
    <w:p>
      <w:pPr>
        <w:pStyle w:val="Compact"/>
        <w:numPr>
          <w:ilvl w:val="0"/>
          <w:numId w:val="1001"/>
        </w:numPr>
      </w:pPr>
      <w:r>
        <w:t xml:space="preserve">Management’s updated view of illicit e-vapor enforcement and category growth.</w:t>
      </w:r>
    </w:p>
    <w:bookmarkEnd w:id="14"/>
    <w:bookmarkStart w:id="16" w:name="X71485f4a0fb0ab38a33e4bb540a33f1faf4dce9"/>
    <w:p>
      <w:pPr>
        <w:pStyle w:val="Heading3"/>
      </w:pPr>
      <w:r>
        <w:t xml:space="preserve">2. Pricing versus consumer trade-down</w:t>
      </w:r>
    </w:p>
    <w:p>
      <w:pPr>
        <w:pStyle w:val="FirstParagraph"/>
      </w:pPr>
      <w:r>
        <w:t xml:space="preserve">Altria generated</w:t>
      </w:r>
      <w:r>
        <w:t xml:space="preserve"> </w:t>
      </w:r>
      <w:r>
        <w:rPr>
          <w:b/>
          <w:bCs/>
        </w:rPr>
        <w:t xml:space="preserve">6.3% net price realization</w:t>
      </w:r>
      <w:r>
        <w:t xml:space="preserve"> </w:t>
      </w:r>
      <w:r>
        <w:t xml:space="preserve">in Q1, supporting 6.3% growth in smokeable adjusted operating companies income and a 65.1% adjusted margin. Pricing remains the economic engine of the business.</w:t>
      </w:r>
    </w:p>
    <w:p>
      <w:pPr>
        <w:pStyle w:val="BodyText"/>
      </w:pPr>
      <w:r>
        <w:t xml:space="preserve">The risk is continued pressure on lower-income nicotine consumers. In Q1, the industry’s discount share reached 33.3%, up 2.4 percentage points year over year. Marlboro’s total-category share fell to 39.7%, although its share within the premium segment improved to 59.5%. Basic captured much of the discount growth, allowing Altria to retain consumers within its own portfolio. (</w:t>
      </w:r>
      <w:hyperlink r:id="rId15">
        <w:r>
          <w:rPr>
            <w:rStyle w:val="Hyperlink"/>
          </w:rPr>
          <w:t xml:space="preserve">investor.altria.com</w:t>
        </w:r>
      </w:hyperlink>
      <w:r>
        <w:t xml:space="preserve">)</w:t>
      </w:r>
    </w:p>
    <w:p>
      <w:pPr>
        <w:pStyle w:val="BodyText"/>
      </w:pPr>
      <w:r>
        <w:t xml:space="preserve">Q2 also includes the broader rollout of</w:t>
      </w:r>
      <w:r>
        <w:t xml:space="preserve"> </w:t>
      </w:r>
      <w:r>
        <w:rPr>
          <w:b/>
          <w:bCs/>
        </w:rPr>
        <w:t xml:space="preserve">Marlboro Cowboy Cut</w:t>
      </w:r>
      <w:r>
        <w:t xml:space="preserve">, positioned as a competitively priced option for price-sensitive Marlboro smokers. The key question is whether this and Basic can protect total company share without causing excessive cannibalization or promotional spending.</w:t>
      </w:r>
    </w:p>
    <w:p>
      <w:pPr>
        <w:pStyle w:val="BodyText"/>
      </w:pPr>
      <w:r>
        <w:rPr>
          <w:b/>
          <w:bCs/>
        </w:rPr>
        <w:t xml:space="preserve">Constructive outcome:</w:t>
      </w:r>
      <w:r>
        <w:t xml:space="preserve"> </w:t>
      </w:r>
      <w:r>
        <w:t xml:space="preserve">Marlboro premium share remains around 59.5%, total PM USA share holds or rises, and strong net pricing continues.</w:t>
      </w:r>
    </w:p>
    <w:p>
      <w:pPr>
        <w:pStyle w:val="BodyText"/>
      </w:pPr>
      <w:r>
        <w:rPr>
          <w:b/>
          <w:bCs/>
        </w:rPr>
        <w:t xml:space="preserve">Negative outcome:</w:t>
      </w:r>
      <w:r>
        <w:t xml:space="preserve"> </w:t>
      </w:r>
      <w:r>
        <w:t xml:space="preserve">Marlboro’s total share falls faster, promotional investment rises materially, or discount mix offsets too much of the pricing benefit.</w:t>
      </w:r>
    </w:p>
    <w:bookmarkEnd w:id="16"/>
    <w:bookmarkStart w:id="17" w:name="X8c7df882432e1a5c0ef3e526df3a9cb93855b20"/>
    <w:p>
      <w:pPr>
        <w:pStyle w:val="Heading3"/>
      </w:pPr>
      <w:r>
        <w:t xml:space="preserve">3. Smokeable margins and the import/export benefit</w:t>
      </w:r>
    </w:p>
    <w:p>
      <w:pPr>
        <w:pStyle w:val="FirstParagraph"/>
      </w:pPr>
      <w:r>
        <w:t xml:space="preserve">Q2 2025 smokeable adjusted operating income was $2.95 billion, with a 64.5% adjusted margin. Q1 2026 margin was already 65.1%, giving Altria a reasonable chance to show year-over-year margin expansion despite higher promotional and manufacturing costs. (</w:t>
      </w:r>
      <w:hyperlink r:id="rId10">
        <w:r>
          <w:rPr>
            <w:rStyle w:val="Hyperlink"/>
          </w:rPr>
          <w:t xml:space="preserve">investor.altria.com</w:t>
        </w:r>
      </w:hyperlink>
      <w:r>
        <w:t xml:space="preserve">)</w:t>
      </w:r>
    </w:p>
    <w:p>
      <w:pPr>
        <w:pStyle w:val="BodyText"/>
      </w:pPr>
      <w:r>
        <w:t xml:space="preserve">Management previously said cigarette export volume and refunds of duties paid on imported cigarettes should increase as 2026 progresses. This could provide an additional profit tailwind, although the company is also spending on contract-manufacturing capacity.</w:t>
      </w:r>
    </w:p>
    <w:p>
      <w:pPr>
        <w:pStyle w:val="BodyText"/>
      </w:pPr>
      <w:r>
        <w:t xml:space="preserve">Investors should separate:</w:t>
      </w:r>
    </w:p>
    <w:p>
      <w:pPr>
        <w:pStyle w:val="Compact"/>
        <w:numPr>
          <w:ilvl w:val="0"/>
          <w:numId w:val="1002"/>
        </w:numPr>
      </w:pPr>
      <w:r>
        <w:t xml:space="preserve">Sustainable pricing and cost control.</w:t>
      </w:r>
    </w:p>
    <w:p>
      <w:pPr>
        <w:pStyle w:val="Compact"/>
        <w:numPr>
          <w:ilvl w:val="0"/>
          <w:numId w:val="1002"/>
        </w:numPr>
      </w:pPr>
      <w:r>
        <w:t xml:space="preserve">Benefits from duty refunds.</w:t>
      </w:r>
    </w:p>
    <w:p>
      <w:pPr>
        <w:pStyle w:val="Compact"/>
        <w:numPr>
          <w:ilvl w:val="0"/>
          <w:numId w:val="1002"/>
        </w:numPr>
      </w:pPr>
      <w:r>
        <w:t xml:space="preserve">Contract-manufacturing export profit.</w:t>
      </w:r>
    </w:p>
    <w:p>
      <w:pPr>
        <w:pStyle w:val="Compact"/>
        <w:numPr>
          <w:ilvl w:val="0"/>
          <w:numId w:val="1002"/>
        </w:numPr>
      </w:pPr>
      <w:r>
        <w:t xml:space="preserve">Temporary inventory or timing effects.</w:t>
      </w:r>
    </w:p>
    <w:p>
      <w:pPr>
        <w:pStyle w:val="FirstParagraph"/>
      </w:pPr>
      <w:r>
        <w:t xml:space="preserve">Strong segment profit supported mainly by pricing and stable costs would be higher quality than a beat driven primarily by tax or duty timing.</w:t>
      </w:r>
    </w:p>
    <w:bookmarkEnd w:id="17"/>
    <w:bookmarkStart w:id="19" w:name="X79728b5e5dcf851cde0c4cf3fb602da5b7e50b4"/>
    <w:p>
      <w:pPr>
        <w:pStyle w:val="Heading3"/>
      </w:pPr>
      <w:r>
        <w:t xml:space="preserve">4. on! PLUS: sell-through now matters more than shipments</w:t>
      </w:r>
    </w:p>
    <w:p>
      <w:pPr>
        <w:pStyle w:val="FirstParagraph"/>
      </w:pPr>
      <w:r>
        <w:t xml:space="preserve">Altria nationally expanded FDA-authorized on! PLUS in late March. At the end of Q1, the product was available in roughly 100,000 stores covering approximately 85% of nicotine-pouch category volume. (</w:t>
      </w:r>
      <w:hyperlink r:id="rId18">
        <w:r>
          <w:rPr>
            <w:rStyle w:val="Hyperlink"/>
          </w:rPr>
          <w:t xml:space="preserve">investor.altria.com</w:t>
        </w:r>
      </w:hyperlink>
      <w:r>
        <w:t xml:space="preserve">)</w:t>
      </w:r>
    </w:p>
    <w:p>
      <w:pPr>
        <w:pStyle w:val="BodyText"/>
      </w:pPr>
      <w:r>
        <w:t xml:space="preserve">Q1 total on! shipments grew 17.6% to 46.2 million cans, but the figure included pipeline inventory for the launch. Q2 will provide the first meaningful evidence of nationwide retail demand.</w:t>
      </w:r>
    </w:p>
    <w:p>
      <w:pPr>
        <w:pStyle w:val="BodyText"/>
      </w:pPr>
      <w:r>
        <w:t xml:space="preserve">The comparisons are challenging:</w:t>
      </w:r>
    </w:p>
    <w:p>
      <w:pPr>
        <w:pStyle w:val="Compact"/>
        <w:numPr>
          <w:ilvl w:val="0"/>
          <w:numId w:val="1003"/>
        </w:numPr>
      </w:pPr>
      <w:r>
        <w:t xml:space="preserve">Q2 2025 on! shipments were</w:t>
      </w:r>
      <w:r>
        <w:t xml:space="preserve"> </w:t>
      </w:r>
      <w:r>
        <w:rPr>
          <w:b/>
          <w:bCs/>
        </w:rPr>
        <w:t xml:space="preserve">52.1 million cans</w:t>
      </w:r>
      <w:r>
        <w:t xml:space="preserve">, up 26.5%.</w:t>
      </w:r>
    </w:p>
    <w:p>
      <w:pPr>
        <w:pStyle w:val="Compact"/>
        <w:numPr>
          <w:ilvl w:val="0"/>
          <w:numId w:val="1003"/>
        </w:numPr>
      </w:pPr>
      <w:r>
        <w:t xml:space="preserve">on!’s total oral-category retail share was</w:t>
      </w:r>
      <w:r>
        <w:t xml:space="preserve"> </w:t>
      </w:r>
      <w:r>
        <w:rPr>
          <w:b/>
          <w:bCs/>
        </w:rPr>
        <w:t xml:space="preserve">8.7%</w:t>
      </w:r>
      <w:r>
        <w:t xml:space="preserve"> </w:t>
      </w:r>
      <w:r>
        <w:t xml:space="preserve">in Q2 2025.</w:t>
      </w:r>
    </w:p>
    <w:p>
      <w:pPr>
        <w:pStyle w:val="Compact"/>
        <w:numPr>
          <w:ilvl w:val="0"/>
          <w:numId w:val="1003"/>
        </w:numPr>
      </w:pPr>
      <w:r>
        <w:t xml:space="preserve">In Q1 2026, total on! share had fallen to</w:t>
      </w:r>
      <w:r>
        <w:t xml:space="preserve"> </w:t>
      </w:r>
      <w:r>
        <w:rPr>
          <w:b/>
          <w:bCs/>
        </w:rPr>
        <w:t xml:space="preserve">7.8%</w:t>
      </w:r>
      <w:r>
        <w:t xml:space="preserve">, while its share of the nicotine-pouch category was 13.4%. (</w:t>
      </w:r>
      <w:hyperlink r:id="rId10">
        <w:r>
          <w:rPr>
            <w:rStyle w:val="Hyperlink"/>
          </w:rPr>
          <w:t xml:space="preserve">investor.altria.com</w:t>
        </w:r>
      </w:hyperlink>
      <w:r>
        <w:t xml:space="preserve">)</w:t>
      </w:r>
    </w:p>
    <w:p>
      <w:pPr>
        <w:pStyle w:val="FirstParagraph"/>
      </w:pPr>
      <w:r>
        <w:t xml:space="preserve">The best indicators will be:</w:t>
      </w:r>
    </w:p>
    <w:p>
      <w:pPr>
        <w:pStyle w:val="Compact"/>
        <w:numPr>
          <w:ilvl w:val="0"/>
          <w:numId w:val="1004"/>
        </w:numPr>
      </w:pPr>
      <w:r>
        <w:t xml:space="preserve">Sequential improvement in on! retail share.</w:t>
      </w:r>
    </w:p>
    <w:p>
      <w:pPr>
        <w:pStyle w:val="Compact"/>
        <w:numPr>
          <w:ilvl w:val="0"/>
          <w:numId w:val="1004"/>
        </w:numPr>
      </w:pPr>
      <w:r>
        <w:t xml:space="preserve">Repeat-purchase or consumer-offtake commentary.</w:t>
      </w:r>
    </w:p>
    <w:p>
      <w:pPr>
        <w:pStyle w:val="Compact"/>
        <w:numPr>
          <w:ilvl w:val="0"/>
          <w:numId w:val="1004"/>
        </w:numPr>
      </w:pPr>
      <w:r>
        <w:t xml:space="preserve">Distribution and shelf-space gains for on! PLUS.</w:t>
      </w:r>
    </w:p>
    <w:p>
      <w:pPr>
        <w:pStyle w:val="Compact"/>
        <w:numPr>
          <w:ilvl w:val="0"/>
          <w:numId w:val="1004"/>
        </w:numPr>
      </w:pPr>
      <w:r>
        <w:t xml:space="preserve">Growth excluding launch-related pipeline inventory.</w:t>
      </w:r>
    </w:p>
    <w:p>
      <w:pPr>
        <w:pStyle w:val="Compact"/>
        <w:numPr>
          <w:ilvl w:val="0"/>
          <w:numId w:val="1004"/>
        </w:numPr>
      </w:pPr>
      <w:r>
        <w:t xml:space="preserve">Any update on additional flavor and strength applications.</w:t>
      </w:r>
    </w:p>
    <w:p>
      <w:pPr>
        <w:pStyle w:val="FirstParagraph"/>
      </w:pPr>
      <w:r>
        <w:t xml:space="preserve">The category itself is growing rapidly, but Altria is losing share within it. Merely reporting higher shipments would not resolve that concern if retail share remains weak.</w:t>
      </w:r>
    </w:p>
    <w:bookmarkEnd w:id="19"/>
    <w:bookmarkStart w:id="20" w:name="X168c6f0e4af36ddc4c2b935f323b757edc6e58b"/>
    <w:p>
      <w:pPr>
        <w:pStyle w:val="Heading3"/>
      </w:pPr>
      <w:r>
        <w:t xml:space="preserve">5. Oral margins may remain under pressure</w:t>
      </w:r>
    </w:p>
    <w:p>
      <w:pPr>
        <w:pStyle w:val="FirstParagraph"/>
      </w:pPr>
      <w:r>
        <w:t xml:space="preserve">Altria’s oral segment remains highly profitable, but on! PLUS marketing and unfavorable mix are dilutive to margins. Q1 adjusted operating margin fell 1.8 percentage points to 67.4%, while the Q2 2025 comparison is a relatively demanding 68.7%. (</w:t>
      </w:r>
      <w:hyperlink r:id="rId10">
        <w:r>
          <w:rPr>
            <w:rStyle w:val="Hyperlink"/>
          </w:rPr>
          <w:t xml:space="preserve">investor.altria.com</w:t>
        </w:r>
      </w:hyperlink>
      <w:r>
        <w:t xml:space="preserve">)</w:t>
      </w:r>
    </w:p>
    <w:p>
      <w:pPr>
        <w:pStyle w:val="BodyText"/>
      </w:pPr>
      <w:r>
        <w:t xml:space="preserve">Some margin compression is acceptable if it accompanies improving on! PLUS demand. The less attractive result would be continued margin pressure without stabilization in pouch share.</w:t>
      </w:r>
    </w:p>
    <w:bookmarkEnd w:id="20"/>
    <w:bookmarkStart w:id="21" w:name="X93d1b1a13a0ec872c16168ff9f39cdc7f8eff01"/>
    <w:p>
      <w:pPr>
        <w:pStyle w:val="Heading3"/>
      </w:pPr>
      <w:r>
        <w:t xml:space="preserve">6. Guidance is likely to drive the stock reaction</w:t>
      </w:r>
    </w:p>
    <w:p>
      <w:pPr>
        <w:pStyle w:val="FirstParagraph"/>
      </w:pPr>
      <w:r>
        <w:t xml:space="preserve">Management currently expects</w:t>
      </w:r>
      <w:r>
        <w:t xml:space="preserve"> </w:t>
      </w:r>
      <w:r>
        <w:rPr>
          <w:b/>
          <w:bCs/>
        </w:rPr>
        <w:t xml:space="preserve">2026 adjusted EPS of</w:t>
      </w:r>
      <w:r>
        <w:rPr>
          <w:b/>
          <w:bCs/>
        </w:rPr>
        <w:t xml:space="preserve"> </w:t>
      </w:r>
      <m:oMath>
        <m:r>
          <m:t>5.56</m:t>
        </m:r>
        <m:r>
          <m:rPr>
            <m:sty m:val="p"/>
          </m:rPr>
          <m:t>–</m:t>
        </m:r>
      </m:oMath>
      <w:r>
        <w:rPr>
          <w:b/>
          <w:bCs/>
        </w:rPr>
        <w:t xml:space="preserve">5.72</w:t>
      </w:r>
      <w:r>
        <w:t xml:space="preserve">, representing growth of 2.5%–5.5%. It reaffirmed that range after the Q1 beat, explaining that macroeconomic uncertainty warranted caution, while noting that earnings growth should now be more balanced between the first and second halves. (</w:t>
      </w:r>
      <w:hyperlink r:id="rId15">
        <w:r>
          <w:rPr>
            <w:rStyle w:val="Hyperlink"/>
          </w:rPr>
          <w:t xml:space="preserve">investor.altria.com</w:t>
        </w:r>
      </w:hyperlink>
      <w:r>
        <w:t xml:space="preserve">)</w:t>
      </w:r>
    </w:p>
    <w:p>
      <w:pPr>
        <w:pStyle w:val="BodyText"/>
      </w:pPr>
      <w:r>
        <w:t xml:space="preserve">At the</w:t>
      </w:r>
      <w:r>
        <w:t xml:space="preserve"> </w:t>
      </w:r>
      <m:oMath>
        <m:r>
          <m:t>1.50</m:t>
        </m:r>
        <m:r>
          <m:t>q</m:t>
        </m:r>
        <m:r>
          <m:t>u</m:t>
        </m:r>
        <m:r>
          <m:t>a</m:t>
        </m:r>
        <m:r>
          <m:t>r</m:t>
        </m:r>
        <m:r>
          <m:t>t</m:t>
        </m:r>
        <m:r>
          <m:t>e</m:t>
        </m:r>
        <m:r>
          <m:t>r</m:t>
        </m:r>
        <m:r>
          <m:t>l</m:t>
        </m:r>
        <m:r>
          <m:t>y</m:t>
        </m:r>
        <m:r>
          <m:t>c</m:t>
        </m:r>
        <m:r>
          <m:t>o</m:t>
        </m:r>
        <m:r>
          <m:t>n</m:t>
        </m:r>
        <m:r>
          <m:t>s</m:t>
        </m:r>
        <m:r>
          <m:t>e</m:t>
        </m:r>
        <m:r>
          <m:t>n</m:t>
        </m:r>
        <m:r>
          <m:t>s</m:t>
        </m:r>
        <m:r>
          <m:t>u</m:t>
        </m:r>
        <m:r>
          <m:t>s</m:t>
        </m:r>
        <m:r>
          <m:rPr>
            <m:sty m:val="p"/>
          </m:rPr>
          <m:t>,</m:t>
        </m:r>
        <m:r>
          <m:t>f</m:t>
        </m:r>
        <m:r>
          <m:t>i</m:t>
        </m:r>
        <m:r>
          <m:t>r</m:t>
        </m:r>
        <m:r>
          <m:t>s</m:t>
        </m:r>
        <m:r>
          <m:t>t</m:t>
        </m:r>
        <m:r>
          <m:rPr>
            <m:sty m:val="p"/>
          </m:rPr>
          <m:t>−</m:t>
        </m:r>
        <m:r>
          <m:t>h</m:t>
        </m:r>
        <m:r>
          <m:t>a</m:t>
        </m:r>
        <m:r>
          <m:t>l</m:t>
        </m:r>
        <m:r>
          <m:t>f</m:t>
        </m:r>
        <m:r>
          <m:t>E</m:t>
        </m:r>
        <m:r>
          <m:t>P</m:t>
        </m:r>
        <m:r>
          <m:t>S</m:t>
        </m:r>
        <m:r>
          <m:t>w</m:t>
        </m:r>
        <m:r>
          <m:t>o</m:t>
        </m:r>
        <m:r>
          <m:t>u</m:t>
        </m:r>
        <m:r>
          <m:t>l</m:t>
        </m:r>
        <m:r>
          <m:t>d</m:t>
        </m:r>
        <m:r>
          <m:t>b</m:t>
        </m:r>
        <m:r>
          <m:t>e</m:t>
        </m:r>
        <m:r>
          <m:t>a</m:t>
        </m:r>
        <m:r>
          <m:t>p</m:t>
        </m:r>
        <m:r>
          <m:t>p</m:t>
        </m:r>
        <m:r>
          <m:t>r</m:t>
        </m:r>
        <m:r>
          <m:t>o</m:t>
        </m:r>
        <m:r>
          <m:t>x</m:t>
        </m:r>
        <m:r>
          <m:t>i</m:t>
        </m:r>
        <m:r>
          <m:t>m</m:t>
        </m:r>
        <m:r>
          <m:t>a</m:t>
        </m:r>
        <m:r>
          <m:t>t</m:t>
        </m:r>
        <m:r>
          <m:t>e</m:t>
        </m:r>
        <m:r>
          <m:t>l</m:t>
        </m:r>
        <m:r>
          <m:t>y</m:t>
        </m:r>
        <m:r>
          <m:rPr>
            <m:sty m:val="p"/>
          </m:rPr>
          <m:t>*</m:t>
        </m:r>
        <m:r>
          <m:rPr>
            <m:sty m:val="p"/>
          </m:rPr>
          <m:t>*</m:t>
        </m:r>
      </m:oMath>
      <w:r>
        <w:t xml:space="preserve">2.82**. That is exactly half of the current guidance midpoint of $5.64. However, full-year consensus of $5.70 implies second-half EPS of roughly $2.88 and sits near the top of management’s range.</w:t>
      </w:r>
    </w:p>
    <w:p>
      <w:pPr>
        <w:pStyle w:val="BodyText"/>
      </w:pPr>
      <w:r>
        <w:t xml:space="preserve">That creates three possible outcomes:</w:t>
      </w:r>
    </w:p>
    <w:p>
      <w:pPr>
        <w:pStyle w:val="Compact"/>
        <w:numPr>
          <w:ilvl w:val="0"/>
          <w:numId w:val="1005"/>
        </w:numPr>
      </w:pPr>
      <w:r>
        <w:rPr>
          <w:b/>
          <w:bCs/>
        </w:rPr>
        <w:t xml:space="preserve">Bullish:</w:t>
      </w:r>
      <w:r>
        <w:t xml:space="preserve"> </w:t>
      </w:r>
      <w:r>
        <w:t xml:space="preserve">Guidance is raised, or narrowed around the upper half of the range.</w:t>
      </w:r>
    </w:p>
    <w:p>
      <w:pPr>
        <w:pStyle w:val="Compact"/>
        <w:numPr>
          <w:ilvl w:val="0"/>
          <w:numId w:val="1005"/>
        </w:numPr>
      </w:pPr>
      <w:r>
        <w:rPr>
          <w:b/>
          <w:bCs/>
        </w:rPr>
        <w:t xml:space="preserve">Neutral:</w:t>
      </w:r>
      <w:r>
        <w:t xml:space="preserve"> </w:t>
      </w:r>
      <w:r>
        <w:t xml:space="preserve">Guidance is reaffirmed, but management expresses increased confidence in the upper half.</w:t>
      </w:r>
    </w:p>
    <w:p>
      <w:pPr>
        <w:pStyle w:val="Compact"/>
        <w:numPr>
          <w:ilvl w:val="0"/>
          <w:numId w:val="1005"/>
        </w:numPr>
      </w:pPr>
      <w:r>
        <w:rPr>
          <w:b/>
          <w:bCs/>
        </w:rPr>
        <w:t xml:space="preserve">Disappointing:</w:t>
      </w:r>
      <w:r>
        <w:t xml:space="preserve"> </w:t>
      </w:r>
      <w:r>
        <w:t xml:space="preserve">Guidance is reaffirmed with cautious commentary suggesting the first half benefited from timing, unusual volume resilience or temporary duty-related items.</w:t>
      </w:r>
    </w:p>
    <w:p>
      <w:pPr>
        <w:pStyle w:val="FirstParagraph"/>
      </w:pPr>
      <w:r>
        <w:t xml:space="preserve">Altria narrowed its annual guidance at the Q2 report last year. Given the strong Q1 and current consensus, investors may again expect at least some narrowing. (</w:t>
      </w:r>
      <w:hyperlink r:id="rId10">
        <w:r>
          <w:rPr>
            <w:rStyle w:val="Hyperlink"/>
          </w:rPr>
          <w:t xml:space="preserve">investor.altria.com</w:t>
        </w:r>
      </w:hyperlink>
      <w:r>
        <w:t xml:space="preserve">)</w:t>
      </w:r>
    </w:p>
    <w:bookmarkEnd w:id="21"/>
    <w:bookmarkStart w:id="22" w:name="X106cd3db27faec3f203c07463b3ef269a78971c"/>
    <w:p>
      <w:pPr>
        <w:pStyle w:val="Heading3"/>
      </w:pPr>
      <w:r>
        <w:t xml:space="preserve">7. Capital returns remain central to the thesis</w:t>
      </w:r>
    </w:p>
    <w:p>
      <w:pPr>
        <w:pStyle w:val="FirstParagraph"/>
      </w:pPr>
      <w:r>
        <w:t xml:space="preserve">Altria entered Q2 with</w:t>
      </w:r>
      <w:r>
        <w:t xml:space="preserve"> </w:t>
      </w:r>
      <w:r>
        <w:rPr>
          <w:b/>
          <w:bCs/>
        </w:rPr>
        <w:t xml:space="preserve">$720 million remaining</w:t>
      </w:r>
      <w:r>
        <w:t xml:space="preserve"> </w:t>
      </w:r>
      <w:r>
        <w:t xml:space="preserve">under its $2 billion repurchase program, which expires at year-end. It had repurchased 4.5 million shares during Q1 for $280 million at an average price of $62.33. (</w:t>
      </w:r>
      <w:hyperlink r:id="rId15">
        <w:r>
          <w:rPr>
            <w:rStyle w:val="Hyperlink"/>
          </w:rPr>
          <w:t xml:space="preserve">investor.altria.com</w:t>
        </w:r>
      </w:hyperlink>
      <w:r>
        <w:t xml:space="preserve">)</w:t>
      </w:r>
    </w:p>
    <w:p>
      <w:pPr>
        <w:pStyle w:val="BodyText"/>
      </w:pPr>
      <w:r>
        <w:t xml:space="preserve">Investors should watch:</w:t>
      </w:r>
    </w:p>
    <w:p>
      <w:pPr>
        <w:pStyle w:val="Compact"/>
        <w:numPr>
          <w:ilvl w:val="0"/>
          <w:numId w:val="1006"/>
        </w:numPr>
      </w:pPr>
      <w:r>
        <w:t xml:space="preserve">Q2 repurchase spending and average purchase price.</w:t>
      </w:r>
    </w:p>
    <w:p>
      <w:pPr>
        <w:pStyle w:val="Compact"/>
        <w:numPr>
          <w:ilvl w:val="0"/>
          <w:numId w:val="1006"/>
        </w:numPr>
      </w:pPr>
      <w:r>
        <w:t xml:space="preserve">Whether the existing authorization remains on pace for completion.</w:t>
      </w:r>
    </w:p>
    <w:p>
      <w:pPr>
        <w:pStyle w:val="Compact"/>
        <w:numPr>
          <w:ilvl w:val="0"/>
          <w:numId w:val="1006"/>
        </w:numPr>
      </w:pPr>
      <w:r>
        <w:t xml:space="preserve">Any new authorization.</w:t>
      </w:r>
    </w:p>
    <w:p>
      <w:pPr>
        <w:pStyle w:val="Compact"/>
        <w:numPr>
          <w:ilvl w:val="0"/>
          <w:numId w:val="1006"/>
        </w:numPr>
      </w:pPr>
      <w:r>
        <w:t xml:space="preserve">Commentary ahead of the company’s customary annual dividend review.</w:t>
      </w:r>
    </w:p>
    <w:p>
      <w:pPr>
        <w:pStyle w:val="FirstParagraph"/>
      </w:pPr>
      <w:r>
        <w:t xml:space="preserve">At the current $1.06 quarterly dividend, the annualized payout is $4.24 per share, or about 74% of the $5.70 full-year consensus estimate.</w:t>
      </w:r>
    </w:p>
    <w:bookmarkEnd w:id="22"/>
    <w:bookmarkStart w:id="23" w:name="Xcb1ce90f01855b73dd36454c67a29fdf66bafc4"/>
    <w:p>
      <w:pPr>
        <w:pStyle w:val="Heading3"/>
      </w:pPr>
      <w:r>
        <w:t xml:space="preserve">8. First report under the new CEO and CFO</w:t>
      </w:r>
    </w:p>
    <w:p>
      <w:pPr>
        <w:pStyle w:val="FirstParagraph"/>
      </w:pPr>
      <w:r>
        <w:t xml:space="preserve">This will be Sal Mancuso’s first quarterly call as CEO and Heather Newman’s first as CFO following the May 14 leadership transition. Mancuso previously served as CFO and was central to the company’s capital allocation and guidance framework, so a sudden strategic shift is unlikely. Still, investors will listen for changes in emphasis around reinvestment, smoke-free products, the ABI stake and repurchases. (</w:t>
      </w:r>
      <w:hyperlink r:id="rId9">
        <w:r>
          <w:rPr>
            <w:rStyle w:val="Hyperlink"/>
          </w:rPr>
          <w:t xml:space="preserve">investor.altria.com</w:t>
        </w:r>
      </w:hyperlink>
      <w:r>
        <w:t xml:space="preserve">)</w:t>
      </w:r>
    </w:p>
    <w:bookmarkEnd w:id="23"/>
    <w:bookmarkEnd w:id="24"/>
    <w:bookmarkStart w:id="25" w:name="X245ce68fa0e0756ab0a777611fbbcfbb7106f53"/>
    <w:p>
      <w:pPr>
        <w:pStyle w:val="Heading2"/>
      </w:pPr>
      <w:r>
        <w:t xml:space="preserve">NJOY and e-vapor: strategically important, but not in the numbers</w:t>
      </w:r>
    </w:p>
    <w:p>
      <w:pPr>
        <w:pStyle w:val="FirstParagraph"/>
      </w:pPr>
      <w:r>
        <w:t xml:space="preserve">Existing guidance assumes</w:t>
      </w:r>
      <w:r>
        <w:t xml:space="preserve"> </w:t>
      </w:r>
      <w:r>
        <w:rPr>
          <w:b/>
          <w:bCs/>
        </w:rPr>
        <w:t xml:space="preserve">NJOY ACE does not return to the market during 2026</w:t>
      </w:r>
      <w:r>
        <w:t xml:space="preserve">. Therefore, a continued absence should not affect guidance. Any concrete legal or commercialization progress would represent optionality rather than an earnings requirement. (</w:t>
      </w:r>
      <w:hyperlink r:id="rId15">
        <w:r>
          <w:rPr>
            <w:rStyle w:val="Hyperlink"/>
          </w:rPr>
          <w:t xml:space="preserve">investor.altria.com</w:t>
        </w:r>
      </w:hyperlink>
      <w:r>
        <w:t xml:space="preserve">)</w:t>
      </w:r>
    </w:p>
    <w:p>
      <w:pPr>
        <w:pStyle w:val="BodyText"/>
      </w:pPr>
      <w:r>
        <w:t xml:space="preserve">The strategic tension is worth monitoring:</w:t>
      </w:r>
    </w:p>
    <w:p>
      <w:pPr>
        <w:pStyle w:val="Compact"/>
        <w:numPr>
          <w:ilvl w:val="0"/>
          <w:numId w:val="1007"/>
        </w:numPr>
      </w:pPr>
      <w:r>
        <w:t xml:space="preserve">Slower illicit disposable-vapor growth can help cigarette volumes.</w:t>
      </w:r>
    </w:p>
    <w:p>
      <w:pPr>
        <w:pStyle w:val="Compact"/>
        <w:numPr>
          <w:ilvl w:val="0"/>
          <w:numId w:val="1007"/>
        </w:numPr>
      </w:pPr>
      <w:r>
        <w:t xml:space="preserve">But Altria still needs a viable e-vapor platform to achieve its longer-term smoke-free ambitions.</w:t>
      </w:r>
    </w:p>
    <w:p>
      <w:pPr>
        <w:pStyle w:val="Compact"/>
        <w:numPr>
          <w:ilvl w:val="0"/>
          <w:numId w:val="1007"/>
        </w:numPr>
      </w:pPr>
      <w:r>
        <w:t xml:space="preserve">A stronger combustible result caused by weak e-vapor conversion is positive for near-term earnings but does not solve the portfolio-transition problem.</w: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08"/>
        </w:numPr>
      </w:pPr>
      <w:r>
        <w:t xml:space="preserve">Adjusted EPS of</w:t>
      </w:r>
      <w:r>
        <w:t xml:space="preserve"> </w:t>
      </w:r>
      <w:r>
        <w:rPr>
          <w:b/>
          <w:bCs/>
        </w:rPr>
        <w:t xml:space="preserve">$1.52 or better</w:t>
      </w:r>
      <w:r>
        <w:t xml:space="preserve">.</w:t>
      </w:r>
    </w:p>
    <w:p>
      <w:pPr>
        <w:pStyle w:val="Compact"/>
        <w:numPr>
          <w:ilvl w:val="0"/>
          <w:numId w:val="1008"/>
        </w:numPr>
      </w:pPr>
      <w:r>
        <w:t xml:space="preserve">Adjusted cigarette decline remains in the low- to mid-single digits.</w:t>
      </w:r>
    </w:p>
    <w:p>
      <w:pPr>
        <w:pStyle w:val="Compact"/>
        <w:numPr>
          <w:ilvl w:val="0"/>
          <w:numId w:val="1008"/>
        </w:numPr>
      </w:pPr>
      <w:r>
        <w:t xml:space="preserve">Smokeable margin expands despite promotional investment.</w:t>
      </w:r>
    </w:p>
    <w:p>
      <w:pPr>
        <w:pStyle w:val="Compact"/>
        <w:numPr>
          <w:ilvl w:val="0"/>
          <w:numId w:val="1008"/>
        </w:numPr>
      </w:pPr>
      <w:r>
        <w:t xml:space="preserve">on! PLUS produces sequential retail-share improvement.</w:t>
      </w:r>
    </w:p>
    <w:p>
      <w:pPr>
        <w:pStyle w:val="Compact"/>
        <w:numPr>
          <w:ilvl w:val="0"/>
          <w:numId w:val="1008"/>
        </w:numPr>
      </w:pPr>
      <w:r>
        <w:t xml:space="preserve">Guidance is narrowed to the upper half or raised.</w:t>
      </w:r>
    </w:p>
    <w:p>
      <w:pPr>
        <w:pStyle w:val="Compact"/>
        <w:numPr>
          <w:ilvl w:val="0"/>
          <w:numId w:val="1008"/>
        </w:numPr>
      </w:pPr>
      <w:r>
        <w:t xml:space="preserve">Buybacks remain active.</w:t>
      </w:r>
    </w:p>
    <w:bookmarkEnd w:id="26"/>
    <w:bookmarkStart w:id="27" w:name="base-case"/>
    <w:p>
      <w:pPr>
        <w:pStyle w:val="Heading3"/>
      </w:pPr>
      <w:r>
        <w:t xml:space="preserve">Base case</w:t>
      </w:r>
    </w:p>
    <w:p>
      <w:pPr>
        <w:pStyle w:val="Compact"/>
        <w:numPr>
          <w:ilvl w:val="0"/>
          <w:numId w:val="1009"/>
        </w:numPr>
      </w:pPr>
      <w:r>
        <w:t xml:space="preserve">EPS around</w:t>
      </w:r>
      <w:r>
        <w:t xml:space="preserve"> </w:t>
      </w:r>
      <m:oMath>
        <m:r>
          <m:t>1.49</m:t>
        </m:r>
        <m:r>
          <m:rPr>
            <m:sty m:val="p"/>
          </m:rPr>
          <m:t>–</m:t>
        </m:r>
      </m:oMath>
      <w:r>
        <w:rPr>
          <w:b/>
          <w:bCs/>
        </w:rPr>
        <w:t xml:space="preserve">1.51</w:t>
      </w:r>
      <w:r>
        <w:t xml:space="preserve">.</w:t>
      </w:r>
    </w:p>
    <w:p>
      <w:pPr>
        <w:pStyle w:val="Compact"/>
        <w:numPr>
          <w:ilvl w:val="0"/>
          <w:numId w:val="1009"/>
        </w:numPr>
      </w:pPr>
      <w:r>
        <w:t xml:space="preserve">Cigarette decline moderates materially versus the prior-year period but is somewhat worse than Q1.</w:t>
      </w:r>
    </w:p>
    <w:p>
      <w:pPr>
        <w:pStyle w:val="Compact"/>
        <w:numPr>
          <w:ilvl w:val="0"/>
          <w:numId w:val="1009"/>
        </w:numPr>
      </w:pPr>
      <w:r>
        <w:t xml:space="preserve">Pricing and duty benefits offset mix and investment.</w:t>
      </w:r>
    </w:p>
    <w:p>
      <w:pPr>
        <w:pStyle w:val="Compact"/>
        <w:numPr>
          <w:ilvl w:val="0"/>
          <w:numId w:val="1009"/>
        </w:numPr>
      </w:pPr>
      <w:r>
        <w:t xml:space="preserve">on! shipments grow, but retail-share improvement is limited.</w:t>
      </w:r>
    </w:p>
    <w:p>
      <w:pPr>
        <w:pStyle w:val="Compact"/>
        <w:numPr>
          <w:ilvl w:val="0"/>
          <w:numId w:val="1009"/>
        </w:numPr>
      </w:pPr>
      <w:r>
        <w:t xml:space="preserve">Guidance is reaffirmed with confidence in achieving the midpoint or upper half.</w:t>
      </w:r>
    </w:p>
    <w:bookmarkEnd w:id="27"/>
    <w:bookmarkStart w:id="28" w:name="bear-case"/>
    <w:p>
      <w:pPr>
        <w:pStyle w:val="Heading3"/>
      </w:pPr>
      <w:r>
        <w:t xml:space="preserve">Bear case</w:t>
      </w:r>
    </w:p>
    <w:p>
      <w:pPr>
        <w:pStyle w:val="Compact"/>
        <w:numPr>
          <w:ilvl w:val="0"/>
          <w:numId w:val="1010"/>
        </w:numPr>
      </w:pPr>
      <w:r>
        <w:t xml:space="preserve">EPS below</w:t>
      </w:r>
      <w:r>
        <w:t xml:space="preserve"> </w:t>
      </w:r>
      <w:r>
        <w:rPr>
          <w:b/>
          <w:bCs/>
        </w:rPr>
        <w:t xml:space="preserve">$1.48</w:t>
      </w:r>
      <w:r>
        <w:t xml:space="preserve">.</w:t>
      </w:r>
    </w:p>
    <w:p>
      <w:pPr>
        <w:pStyle w:val="Compact"/>
        <w:numPr>
          <w:ilvl w:val="0"/>
          <w:numId w:val="1010"/>
        </w:numPr>
      </w:pPr>
      <w:r>
        <w:t xml:space="preserve">Cigarette declines reaccelerate or Marlboro share weakens materially.</w:t>
      </w:r>
    </w:p>
    <w:p>
      <w:pPr>
        <w:pStyle w:val="Compact"/>
        <w:numPr>
          <w:ilvl w:val="0"/>
          <w:numId w:val="1010"/>
        </w:numPr>
      </w:pPr>
      <w:r>
        <w:t xml:space="preserve">Higher promotions and manufacturing costs pressure smokeable margins.</w:t>
      </w:r>
    </w:p>
    <w:p>
      <w:pPr>
        <w:pStyle w:val="Compact"/>
        <w:numPr>
          <w:ilvl w:val="0"/>
          <w:numId w:val="1010"/>
        </w:numPr>
      </w:pPr>
      <w:r>
        <w:t xml:space="preserve">on! PLUS fails to improve retail share despite launch spending.</w:t>
      </w:r>
    </w:p>
    <w:p>
      <w:pPr>
        <w:pStyle w:val="Compact"/>
        <w:numPr>
          <w:ilvl w:val="0"/>
          <w:numId w:val="1010"/>
        </w:numPr>
      </w:pPr>
      <w:r>
        <w:t xml:space="preserve">Management points to more difficult second-half comparisons or macro pressure.</w:t>
      </w:r>
    </w:p>
    <w:p>
      <w:pPr>
        <w:pStyle w:val="Compact"/>
        <w:numPr>
          <w:ilvl w:val="0"/>
          <w:numId w:val="1010"/>
        </w:numPr>
      </w:pPr>
      <w:r>
        <w:t xml:space="preserve">Guidance remains unchanged but commentary implies risk toward the lower half.</w:t>
      </w:r>
    </w:p>
    <w:bookmarkEnd w:id="28"/>
    <w:bookmarkEnd w:id="29"/>
    <w:bookmarkStart w:id="30" w:name="bottom-line"/>
    <w:p>
      <w:pPr>
        <w:pStyle w:val="Heading2"/>
      </w:pPr>
      <w:r>
        <w:t xml:space="preserve">Bottom line</w:t>
      </w:r>
    </w:p>
    <w:p>
      <w:pPr>
        <w:pStyle w:val="FirstParagraph"/>
      </w:pPr>
      <w:r>
        <w:t xml:space="preserve">The likely earnings debate is less about the headline consensus beat and more about the</w:t>
      </w:r>
      <w:r>
        <w:t xml:space="preserve"> </w:t>
      </w:r>
      <w:r>
        <w:rPr>
          <w:b/>
          <w:bCs/>
        </w:rPr>
        <w:t xml:space="preserve">quality and durability of Altria’s cigarette improvement</w:t>
      </w:r>
      <w:r>
        <w:t xml:space="preserve">.</w:t>
      </w:r>
    </w:p>
    <w:p>
      <w:pPr>
        <w:pStyle w:val="BodyText"/>
      </w:pPr>
      <w:r>
        <w:t xml:space="preserve">A report showing mid-single-digit cigarette declines, continued premium-segment strength, healthy smokeable margins and initial on! PLUS share stabilization would support the view that Altria can earn near the top of guidance. Conversely, a mechanically strong EPS result driven by duty refunds or pipeline inventory—without better retail trends—would be less convincing.</w:t>
      </w:r>
    </w:p>
    <w:p>
      <w:pPr>
        <w:pStyle w:val="BodyText"/>
      </w:pPr>
      <w:r>
        <w:t xml:space="preserve">After a roughly 30% year-to-date rally, a routine beat and reaffirmation may not be enough for further upside. The cleanest positive catalyst would be</w:t>
      </w:r>
      <w:r>
        <w:t xml:space="preserve"> </w:t>
      </w:r>
      <w:r>
        <w:rPr>
          <w:b/>
          <w:bCs/>
        </w:rPr>
        <w:t xml:space="preserve">higher or narrowed guidance backed by sustainable combustible performance and credible on! PLUS sell-through</w:t>
      </w:r>
      <w:r>
        <w:t xml:space="preserv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altria.com/press-releases/news-details/2025/Altria-Reports-2025-Second-Quarter-and-First-Half-Results-Narrows-2025-Full-Year-Earnings-Guidance/default.aspx" TargetMode="External" /><Relationship Type="http://schemas.openxmlformats.org/officeDocument/2006/relationships/hyperlink" Id="rId15" Target="https://investor.altria.com/press-releases/news-details/2026/Altria-Reports-2026-First-Quarter-Results-Reaffirms-Full-Year-Guidance/default.aspx?utm_source=openai" TargetMode="External" /><Relationship Type="http://schemas.openxmlformats.org/officeDocument/2006/relationships/hyperlink" Id="rId9" Target="https://investor.altria.com/press-releases/news-details/2026/Altria-to-Host-Webcast-of-2026-Second-Quarter-and-First-Half-Results/default.aspx" TargetMode="External" /><Relationship Type="http://schemas.openxmlformats.org/officeDocument/2006/relationships/hyperlink" Id="rId18" Target="https://investor.altria.com/press-releases/news-details/2026/on-PLUS-Expands-Nationwide-Retail-Availability/default.aspx?utm_source=openai" TargetMode="External" /><Relationship Type="http://schemas.openxmlformats.org/officeDocument/2006/relationships/hyperlink" Id="rId12" Target="https://www.barchart.com/stocks/quotes/MO/earnings-estimates"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altria.com/press-releases/news-details/2025/Altria-Reports-2025-Second-Quarter-and-First-Half-Results-Narrows-2025-Full-Year-Earnings-Guidance/default.aspx" TargetMode="External" /><Relationship Type="http://schemas.openxmlformats.org/officeDocument/2006/relationships/hyperlink" Id="rId15" Target="https://investor.altria.com/press-releases/news-details/2026/Altria-Reports-2026-First-Quarter-Results-Reaffirms-Full-Year-Guidance/default.aspx?utm_source=openai" TargetMode="External" /><Relationship Type="http://schemas.openxmlformats.org/officeDocument/2006/relationships/hyperlink" Id="rId9" Target="https://investor.altria.com/press-releases/news-details/2026/Altria-to-Host-Webcast-of-2026-Second-Quarter-and-First-Half-Results/default.aspx" TargetMode="External" /><Relationship Type="http://schemas.openxmlformats.org/officeDocument/2006/relationships/hyperlink" Id="rId18" Target="https://investor.altria.com/press-releases/news-details/2026/on-PLUS-Expands-Nationwide-Retail-Availability/default.aspx?utm_source=openai" TargetMode="External" /><Relationship Type="http://schemas.openxmlformats.org/officeDocument/2006/relationships/hyperlink" Id="rId12" Target="https://www.barchart.com/stocks/quotes/MO/earnings-estim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file>