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-earnings-predictions--2026-07-30"/>
    <w:p>
      <w:pPr>
        <w:pStyle w:val="Heading1"/>
      </w:pPr>
      <w:r>
        <w:t xml:space="preserve">MO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~$6.17B vs. cons $6.08B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domestic cigarette shipment-volume decline (trade-inventory adjusted)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~-4.5% vs. cons -5.0%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~$5.64 vs. cons $5.70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An EPS/revenue beat and manageable cigarette decline should initially support the shares, but a reiterated</w:t>
            </w:r>
            <w:r>
              <w:t xml:space="preserve"> </w:t>
            </w:r>
            <m:oMath>
              <m:r>
                <m:t>5.56</m:t>
              </m:r>
              <m:r>
                <m:rPr>
                  <m:sty m:val="p"/>
                </m:rPr>
                <m:t>−</m:t>
              </m:r>
            </m:oMath>
            <w:r>
              <w:t xml:space="preserve">5.72 FY2026 range has a ~</w:t>
            </w:r>
            <m:oMath>
              <m:r>
                <m:t>5.64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5.70 consensus. The beat is likely helped by price, duty-drawback and export timing while pouch investment/mix pressure persists, limiting upward FY2026/FY2027 revisions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2026-07-29T18:25:50Z</dcterms:created>
  <dcterms:modified xsi:type="dcterms:W3CDTF">2026-07-29T18:25:50Z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