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altria-nyse-mo--2q26-earnings-preview"/>
    <w:p>
      <w:pPr>
        <w:pStyle w:val="Heading1"/>
      </w:pPr>
      <w:r>
        <w:t xml:space="preserve">Altria (NYSE: MO) — 2Q26 Earnings Preview</w:t>
      </w:r>
    </w:p>
    <w:p>
      <w:pPr>
        <w:pStyle w:val="FirstParagraph"/>
      </w:pPr>
      <w:r>
        <w:rPr>
          <w:b/>
          <w:bCs/>
        </w:rPr>
        <w:t xml:space="preserve">Event:</w:t>
      </w:r>
      <w:r>
        <w:t xml:space="preserve"> </w:t>
      </w:r>
      <w:r>
        <w:t xml:space="preserve">Thursday, July 30, 2026, before market open; earnings call at</w:t>
      </w:r>
      <w:r>
        <w:t xml:space="preserve"> </w:t>
      </w:r>
      <w:r>
        <w:rPr>
          <w:b/>
          <w:bCs/>
        </w:rPr>
        <w:t xml:space="preserve">9:00 a.m. ET</w:t>
      </w:r>
      <w:r>
        <w:t xml:space="preserve">. (</w:t>
      </w:r>
      <w:hyperlink r:id="rId9">
        <w:r>
          <w:rPr>
            <w:rStyle w:val="Hyperlink"/>
          </w:rPr>
          <w:t xml:space="preserve">investor.altria.com</w:t>
        </w:r>
      </w:hyperlink>
      <w:r>
        <w:t xml:space="preserve">)</w:t>
      </w:r>
      <w:r>
        <w:br/>
      </w:r>
      <w:r>
        <w:rPr>
          <w:b/>
          <w:bCs/>
        </w:rPr>
        <w:t xml:space="preserve">Street setup:</w:t>
      </w:r>
      <w:r>
        <w:t xml:space="preserve"> </w:t>
      </w:r>
      <w:r>
        <w:t xml:space="preserve">A third-party consensus aggregator lists</w:t>
      </w:r>
      <w:r>
        <w:t xml:space="preserve"> </w:t>
      </w:r>
      <w:r>
        <w:rPr>
          <w:b/>
          <w:bCs/>
        </w:rPr>
        <w:t xml:space="preserve">2Q26 EPS of</w:t>
      </w:r>
      <w:r>
        <w:rPr>
          <w:b/>
          <w:bCs/>
        </w:rPr>
        <w:t xml:space="preserve"> </w:t>
      </w:r>
      <m:oMath>
        <m:r>
          <m:t>1.50</m:t>
        </m:r>
        <m:r>
          <m:rPr>
            <m:sty m:val="p"/>
          </m:rPr>
          <m:t>*</m:t>
        </m:r>
        <m:r>
          <m:rPr>
            <m:sty m:val="p"/>
          </m:rPr>
          <m:t>*</m:t>
        </m:r>
        <m:r>
          <m:rPr>
            <m:sty m:val="p"/>
          </m:rPr>
          <m:t>,</m:t>
        </m:r>
        <m:r>
          <m:t>v</m:t>
        </m:r>
        <m:r>
          <m:t>e</m:t>
        </m:r>
        <m:r>
          <m:t>r</m:t>
        </m:r>
        <m:r>
          <m:t>s</m:t>
        </m:r>
        <m:r>
          <m:t>u</m:t>
        </m:r>
        <m:r>
          <m:t>s</m:t>
        </m:r>
        <m:r>
          <m:rPr>
            <m:sty m:val="p"/>
          </m:rPr>
          <m:t>*</m:t>
        </m:r>
        <m:r>
          <m:rPr>
            <m:sty m:val="p"/>
          </m:rPr>
          <m:t>*</m:t>
        </m:r>
      </m:oMath>
      <w:r>
        <w:rPr>
          <w:b/>
          <w:bCs/>
        </w:rPr>
        <w:t xml:space="preserve">1.44 adjusted EPS in 2Q25</w:t>
      </w:r>
      <w:r>
        <w:t xml:space="preserve">—roughly 4% year-over-year growth. (</w:t>
      </w:r>
      <w:hyperlink r:id="rId10">
        <w:r>
          <w:rPr>
            <w:rStyle w:val="Hyperlink"/>
          </w:rPr>
          <w:t xml:space="preserve">tipranks.com</w:t>
        </w:r>
      </w:hyperlink>
      <w:r>
        <w:t xml:space="preserve">)</w:t>
      </w:r>
    </w:p>
    <w:bookmarkStart w:id="11" w:name="bottom-line"/>
    <w:p>
      <w:pPr>
        <w:pStyle w:val="Heading2"/>
      </w:pPr>
      <w:r>
        <w:t xml:space="preserve">Bottom line</w:t>
      </w:r>
    </w:p>
    <w:p>
      <w:pPr>
        <w:pStyle w:val="FirstParagraph"/>
      </w:pPr>
      <w:r>
        <w:t xml:space="preserve">MO enters 2Q with a favorable earnings setup: its</w:t>
      </w:r>
      <w:r>
        <w:t xml:space="preserve"> </w:t>
      </w:r>
      <w:r>
        <w:rPr>
          <w:b/>
          <w:bCs/>
        </w:rPr>
        <w:t xml:space="preserve">1Q adjusted EPS grew 7.3% to $1.32</w:t>
      </w:r>
      <w:r>
        <w:t xml:space="preserve">, management reiterated</w:t>
      </w:r>
      <w:r>
        <w:t xml:space="preserve"> </w:t>
      </w:r>
      <w:r>
        <w:rPr>
          <w:b/>
          <w:bCs/>
        </w:rPr>
        <w:t xml:space="preserve">2026 adjusted EPS guidance of</w:t>
      </w:r>
      <w:r>
        <w:rPr>
          <w:b/>
          <w:bCs/>
        </w:rPr>
        <w:t xml:space="preserve"> </w:t>
      </w:r>
      <m:oMath>
        <m:r>
          <m:t>5.56</m:t>
        </m:r>
        <m:r>
          <m:rPr>
            <m:sty m:val="p"/>
          </m:rPr>
          <m:t>–</m:t>
        </m:r>
      </m:oMath>
      <w:r>
        <w:rPr>
          <w:b/>
          <w:bCs/>
        </w:rPr>
        <w:t xml:space="preserve">5.72</w:t>
      </w:r>
      <w:r>
        <w:t xml:space="preserve">, and it said full-year growth should now be more balanced between the first and second halves. The core question is not simply whether Altria beats the quarterly EPS number; it is whether the quarter confirms that</w:t>
      </w:r>
      <w:r>
        <w:t xml:space="preserve"> </w:t>
      </w:r>
      <w:r>
        <w:rPr>
          <w:b/>
          <w:bCs/>
        </w:rPr>
        <w:t xml:space="preserve">combustible-volume pressure has structurally moderated</w:t>
      </w:r>
      <w:r>
        <w:t xml:space="preserve"> </w:t>
      </w:r>
      <w:r>
        <w:t xml:space="preserve">without requiring materially more discounting, while</w:t>
      </w:r>
      <w:r>
        <w:t xml:space="preserve"> </w:t>
      </w:r>
      <w:r>
        <w:rPr>
          <w:b/>
          <w:bCs/>
        </w:rPr>
        <w:t xml:space="preserve">on! PLUS</w:t>
      </w:r>
      <w:r>
        <w:t xml:space="preserve"> </w:t>
      </w:r>
      <w:r>
        <w:t xml:space="preserve">begins to demonstrate credible consumer traction in nicotine pouches.</w:t>
      </w:r>
    </w:p>
    <w:p>
      <w:pPr>
        <w:pStyle w:val="BodyText"/>
      </w:pPr>
      <w:r>
        <w:t xml:space="preserve">The likely near-term read-through is:</w:t>
      </w:r>
    </w:p>
    <w:p>
      <w:pPr>
        <w:pStyle w:val="Compact"/>
        <w:numPr>
          <w:ilvl w:val="0"/>
          <w:numId w:val="1001"/>
        </w:numPr>
      </w:pPr>
      <w:r>
        <w:rPr>
          <w:b/>
          <w:bCs/>
        </w:rPr>
        <w:t xml:space="preserve">Constructive:</w:t>
      </w:r>
      <w:r>
        <w:t xml:space="preserve"> </w:t>
      </w:r>
      <w:r>
        <w:t xml:space="preserve">Stable-to-improving cigarette volume trends, continued price realization, Marlboro premium-share resilience, a credible early read on on! PLUS, and reaffirmed guidance.</w:t>
      </w:r>
    </w:p>
    <w:p>
      <w:pPr>
        <w:pStyle w:val="Compact"/>
        <w:numPr>
          <w:ilvl w:val="0"/>
          <w:numId w:val="1001"/>
        </w:numPr>
      </w:pPr>
      <w:r>
        <w:rPr>
          <w:b/>
          <w:bCs/>
        </w:rPr>
        <w:t xml:space="preserve">More cautious:</w:t>
      </w:r>
      <w:r>
        <w:t xml:space="preserve"> </w:t>
      </w:r>
      <w:r>
        <w:t xml:space="preserve">Further Marlboro share erosion from consumer trade-down, weaker-than-expected oral-tobacco share trends, or commentary that improved cigarette volumes were mainly temporary effects from enforcement, inventories, or easy comparisons.</w:t>
      </w:r>
    </w:p>
    <w:bookmarkEnd w:id="11"/>
    <w:bookmarkStart w:id="17" w:name="what-matters-most"/>
    <w:p>
      <w:pPr>
        <w:pStyle w:val="Heading2"/>
      </w:pPr>
      <w:r>
        <w:t xml:space="preserve">What matters most</w:t>
      </w:r>
    </w:p>
    <w:bookmarkStart w:id="12" w:name="X3a8fd56f4b5d32942f94783cdaabe847d824b55"/>
    <w:p>
      <w:pPr>
        <w:pStyle w:val="Heading3"/>
      </w:pPr>
      <w:r>
        <w:t xml:space="preserve">1. Smokeable products: Is 1Q’s volume improvement sustainable?</w:t>
      </w:r>
    </w:p>
    <w:p>
      <w:pPr>
        <w:pStyle w:val="FirstParagraph"/>
      </w:pPr>
      <w:r>
        <w:t xml:space="preserve">Altria’s smokeable segment remains the earnings engine. In 1Q, adjusted segment OCI increased</w:t>
      </w:r>
      <w:r>
        <w:t xml:space="preserve"> </w:t>
      </w:r>
      <w:r>
        <w:rPr>
          <w:b/>
          <w:bCs/>
        </w:rPr>
        <w:t xml:space="preserve">6.3%</w:t>
      </w:r>
      <w:r>
        <w:t xml:space="preserve">, with adjusted margins up</w:t>
      </w:r>
      <w:r>
        <w:t xml:space="preserve"> </w:t>
      </w:r>
      <w:r>
        <w:rPr>
          <w:b/>
          <w:bCs/>
        </w:rPr>
        <w:t xml:space="preserve">70 bps to 65.1%</w:t>
      </w:r>
      <w:r>
        <w:t xml:space="preserve">. Net price realization was</w:t>
      </w:r>
      <w:r>
        <w:t xml:space="preserve"> </w:t>
      </w:r>
      <w:r>
        <w:rPr>
          <w:b/>
          <w:bCs/>
        </w:rPr>
        <w:t xml:space="preserve">6.3%</w:t>
      </w:r>
      <w:r>
        <w:t xml:space="preserve">, while cigarette shipment volume declined an estimated</w:t>
      </w:r>
      <w:r>
        <w:t xml:space="preserve"> </w:t>
      </w:r>
      <w:r>
        <w:rPr>
          <w:b/>
          <w:bCs/>
        </w:rPr>
        <w:t xml:space="preserve">4% after trade-inventory adjustments</w:t>
      </w:r>
      <w:r>
        <w:t xml:space="preserve">—a sharp improvement from the estimated</w:t>
      </w:r>
      <w:r>
        <w:t xml:space="preserve"> </w:t>
      </w:r>
      <w:r>
        <w:rPr>
          <w:b/>
          <w:bCs/>
        </w:rPr>
        <w:t xml:space="preserve">10.5% decline in 2Q25</w:t>
      </w:r>
      <w:r>
        <w:t xml:space="preserve">.</w:t>
      </w:r>
    </w:p>
    <w:p>
      <w:pPr>
        <w:pStyle w:val="BodyText"/>
      </w:pPr>
      <w:r>
        <w:t xml:space="preserve">That creates a favorable year-over-year comparison, but the quality of the improvement matters:</w:t>
      </w:r>
    </w:p>
    <w:p>
      <w:pPr>
        <w:pStyle w:val="Compact"/>
        <w:numPr>
          <w:ilvl w:val="0"/>
          <w:numId w:val="1002"/>
        </w:numPr>
      </w:pPr>
      <w:r>
        <w:t xml:space="preserve">Management attributed the 1Q moderation partly to less movement from cigarettes into illicit disposable vapes.</w:t>
      </w:r>
    </w:p>
    <w:p>
      <w:pPr>
        <w:pStyle w:val="Compact"/>
        <w:numPr>
          <w:ilvl w:val="0"/>
          <w:numId w:val="1002"/>
        </w:numPr>
      </w:pPr>
      <w:r>
        <w:t xml:space="preserve">The company also benefited from stronger discount-brand execution, particularly</w:t>
      </w:r>
      <w:r>
        <w:t xml:space="preserve"> </w:t>
      </w:r>
      <w:r>
        <w:rPr>
          <w:b/>
          <w:bCs/>
        </w:rPr>
        <w:t xml:space="preserve">Basic</w:t>
      </w:r>
      <w:r>
        <w:t xml:space="preserve">, as financially pressured consumers traded down.</w:t>
      </w:r>
    </w:p>
    <w:p>
      <w:pPr>
        <w:pStyle w:val="Compact"/>
        <w:numPr>
          <w:ilvl w:val="0"/>
          <w:numId w:val="1002"/>
        </w:numPr>
      </w:pPr>
      <w:r>
        <w:t xml:space="preserve">Marlboro’s</w:t>
      </w:r>
      <w:r>
        <w:t xml:space="preserve"> </w:t>
      </w:r>
      <w:r>
        <w:rPr>
          <w:b/>
          <w:bCs/>
        </w:rPr>
        <w:t xml:space="preserve">total-cigarette share fell 1.4 points year over year</w:t>
      </w:r>
      <w:r>
        <w:t xml:space="preserve"> </w:t>
      </w:r>
      <w:r>
        <w:t xml:space="preserve">in 1Q, although its premium-segment share improved modestly to</w:t>
      </w:r>
      <w:r>
        <w:t xml:space="preserve"> </w:t>
      </w:r>
      <w:r>
        <w:rPr>
          <w:b/>
          <w:bCs/>
        </w:rPr>
        <w:t xml:space="preserve">59.5%</w:t>
      </w:r>
      <w:r>
        <w:t xml:space="preserve">.</w:t>
      </w:r>
    </w:p>
    <w:p>
      <w:pPr>
        <w:pStyle w:val="FirstParagraph"/>
      </w:pPr>
      <w:r>
        <w:rPr>
          <w:b/>
          <w:bCs/>
        </w:rPr>
        <w:t xml:space="preserve">What investors should watch</w:t>
      </w:r>
    </w:p>
    <w:p>
      <w:pPr>
        <w:pStyle w:val="Compact"/>
        <w:numPr>
          <w:ilvl w:val="0"/>
          <w:numId w:val="1003"/>
        </w:numPr>
      </w:pPr>
      <w:r>
        <w:t xml:space="preserve">Estimated industry and Altria cigarette-volume declines, adjusted for inventory.</w:t>
      </w:r>
    </w:p>
    <w:p>
      <w:pPr>
        <w:pStyle w:val="Compact"/>
        <w:numPr>
          <w:ilvl w:val="0"/>
          <w:numId w:val="1003"/>
        </w:numPr>
      </w:pPr>
      <w:r>
        <w:t xml:space="preserve">Marlboro’s total-category share versus its premium-segment share.</w:t>
      </w:r>
    </w:p>
    <w:p>
      <w:pPr>
        <w:pStyle w:val="Compact"/>
        <w:numPr>
          <w:ilvl w:val="0"/>
          <w:numId w:val="1003"/>
        </w:numPr>
      </w:pPr>
      <w:r>
        <w:t xml:space="preserve">Whether discount-category expansion continues—and whether Basic captures that demand without more meaningful Marlboro cannibalization.</w:t>
      </w:r>
    </w:p>
    <w:p>
      <w:pPr>
        <w:pStyle w:val="Compact"/>
        <w:numPr>
          <w:ilvl w:val="0"/>
          <w:numId w:val="1003"/>
        </w:numPr>
      </w:pPr>
      <w:r>
        <w:t xml:space="preserve">Net price realization and smokeable OCI margin, which should determine whether volume resilience actually converts to earnings.</w:t>
      </w:r>
    </w:p>
    <w:p>
      <w:pPr>
        <w:pStyle w:val="FirstParagraph"/>
      </w:pPr>
      <w:r>
        <w:t xml:space="preserve">The key risk is that a weaker consumer pushes the mix further toward discounts. That could preserve volumes and share, but eventually pressure price/mix and margins.</w:t>
      </w:r>
    </w:p>
    <w:bookmarkEnd w:id="12"/>
    <w:bookmarkStart w:id="13" w:name="X7a4470d93d97788a3695a2981a2be598bb93dd9"/>
    <w:p>
      <w:pPr>
        <w:pStyle w:val="Heading3"/>
      </w:pPr>
      <w:r>
        <w:t xml:space="preserve">2. Price-sensitive consumer: The trade-down risk is real</w:t>
      </w:r>
    </w:p>
    <w:p>
      <w:pPr>
        <w:pStyle w:val="FirstParagraph"/>
      </w:pPr>
      <w:r>
        <w:t xml:space="preserve">Management was notably cautious in April about the macro backdrop, citing continued pressure on discretionary income, higher everyday expenses, and rising gas prices. It positioned Basic and the broader revenue-growth-management toolkit as ways to retain adult smokers who might otherwise leave Marlboro or shift to a competitor.</w:t>
      </w:r>
    </w:p>
    <w:p>
      <w:pPr>
        <w:pStyle w:val="BodyText"/>
      </w:pPr>
      <w:r>
        <w:t xml:space="preserve">Altria also planned a broader</w:t>
      </w:r>
      <w:r>
        <w:t xml:space="preserve"> </w:t>
      </w:r>
      <w:r>
        <w:rPr>
          <w:b/>
          <w:bCs/>
        </w:rPr>
        <w:t xml:space="preserve">Marlboro Cowboy Cut</w:t>
      </w:r>
      <w:r>
        <w:t xml:space="preserve"> </w:t>
      </w:r>
      <w:r>
        <w:t xml:space="preserve">rollout later in 2Q, described as a competitively priced option for price-sensitive Marlboro consumers. The earnings call should clarify whether this rollout is supporting retention or introducing incremental mix pressure.</w:t>
      </w:r>
    </w:p>
    <w:p>
      <w:pPr>
        <w:pStyle w:val="BodyText"/>
      </w:pPr>
      <w:r>
        <w:rPr>
          <w:b/>
          <w:bCs/>
        </w:rPr>
        <w:t xml:space="preserve">Bullish interpretation:</w:t>
      </w:r>
      <w:r>
        <w:t xml:space="preserve"> </w:t>
      </w:r>
      <w:r>
        <w:t xml:space="preserve">Targeted discounting protects total PM USA share while Marlboro remains resilient in premium.</w:t>
      </w:r>
      <w:r>
        <w:br/>
      </w:r>
      <w:r>
        <w:rPr>
          <w:b/>
          <w:bCs/>
        </w:rPr>
        <w:t xml:space="preserve">Bearish interpretation:</w:t>
      </w:r>
      <w:r>
        <w:t xml:space="preserve"> </w:t>
      </w:r>
      <w:r>
        <w:t xml:space="preserve">The consumer is weakening more quickly than anticipated, requiring broader promotional activity and eroding premium economics.</w:t>
      </w:r>
    </w:p>
    <w:bookmarkEnd w:id="13"/>
    <w:bookmarkStart w:id="14" w:name="X002c9ea03d2b3a53d61d88aa78ddae1b26277f6"/>
    <w:p>
      <w:pPr>
        <w:pStyle w:val="Heading3"/>
      </w:pPr>
      <w:r>
        <w:t xml:space="preserve">3. Nicotine pouches: on! PLUS needs to move from pipeline shipments to retail proof</w:t>
      </w:r>
    </w:p>
    <w:p>
      <w:pPr>
        <w:pStyle w:val="FirstParagraph"/>
      </w:pPr>
      <w:r>
        <w:t xml:space="preserve">The oral segment is strategically important but increasingly competitive. In 1Q:</w:t>
      </w:r>
    </w:p>
    <w:p>
      <w:pPr>
        <w:pStyle w:val="Compact"/>
        <w:numPr>
          <w:ilvl w:val="0"/>
          <w:numId w:val="1004"/>
        </w:numPr>
      </w:pPr>
      <w:r>
        <w:t xml:space="preserve">Total oral-industry volume grew an estimated</w:t>
      </w:r>
      <w:r>
        <w:t xml:space="preserve"> </w:t>
      </w:r>
      <w:r>
        <w:rPr>
          <w:b/>
          <w:bCs/>
        </w:rPr>
        <w:t xml:space="preserve">9.5%</w:t>
      </w:r>
      <w:r>
        <w:t xml:space="preserve"> </w:t>
      </w:r>
      <w:r>
        <w:t xml:space="preserve">over the preceding six months, driven by nicotine pouches.</w:t>
      </w:r>
    </w:p>
    <w:p>
      <w:pPr>
        <w:pStyle w:val="Compact"/>
        <w:numPr>
          <w:ilvl w:val="0"/>
          <w:numId w:val="1004"/>
        </w:numPr>
      </w:pPr>
      <w:r>
        <w:t xml:space="preserve">on! shipment volume grew</w:t>
      </w:r>
      <w:r>
        <w:t xml:space="preserve"> </w:t>
      </w:r>
      <w:r>
        <w:rPr>
          <w:b/>
          <w:bCs/>
        </w:rPr>
        <w:t xml:space="preserve">17.6%</w:t>
      </w:r>
      <w:r>
        <w:t xml:space="preserve"> </w:t>
      </w:r>
      <w:r>
        <w:t xml:space="preserve">to</w:t>
      </w:r>
      <w:r>
        <w:t xml:space="preserve"> </w:t>
      </w:r>
      <w:r>
        <w:rPr>
          <w:b/>
          <w:bCs/>
        </w:rPr>
        <w:t xml:space="preserve">46.2 million cans</w:t>
      </w:r>
      <w:r>
        <w:t xml:space="preserve">, aided by on! PLUS pipeline shipments.</w:t>
      </w:r>
    </w:p>
    <w:p>
      <w:pPr>
        <w:pStyle w:val="Compact"/>
        <w:numPr>
          <w:ilvl w:val="0"/>
          <w:numId w:val="1004"/>
        </w:numPr>
      </w:pPr>
      <w:r>
        <w:t xml:space="preserve">on! PLUS began nationwide shipping in March and was available in roughly</w:t>
      </w:r>
      <w:r>
        <w:t xml:space="preserve"> </w:t>
      </w:r>
      <w:r>
        <w:rPr>
          <w:b/>
          <w:bCs/>
        </w:rPr>
        <w:t xml:space="preserve">100,000 stores</w:t>
      </w:r>
      <w:r>
        <w:t xml:space="preserve"> </w:t>
      </w:r>
      <w:r>
        <w:t xml:space="preserve">at quarter-end.</w:t>
      </w:r>
    </w:p>
    <w:p>
      <w:pPr>
        <w:pStyle w:val="Compact"/>
        <w:numPr>
          <w:ilvl w:val="0"/>
          <w:numId w:val="1004"/>
        </w:numPr>
      </w:pPr>
      <w:r>
        <w:t xml:space="preserve">Yet on!’s total oral-category retail share was</w:t>
      </w:r>
      <w:r>
        <w:t xml:space="preserve"> </w:t>
      </w:r>
      <w:r>
        <w:rPr>
          <w:b/>
          <w:bCs/>
        </w:rPr>
        <w:t xml:space="preserve">7.8%</w:t>
      </w:r>
      <w:r>
        <w:t xml:space="preserve">, down</w:t>
      </w:r>
      <w:r>
        <w:t xml:space="preserve"> </w:t>
      </w:r>
      <w:r>
        <w:rPr>
          <w:b/>
          <w:bCs/>
        </w:rPr>
        <w:t xml:space="preserve">0.8 points year over year</w:t>
      </w:r>
      <w:r>
        <w:t xml:space="preserve">, while its share of the nicotine-pouch category was</w:t>
      </w:r>
      <w:r>
        <w:t xml:space="preserve"> </w:t>
      </w:r>
      <w:r>
        <w:rPr>
          <w:b/>
          <w:bCs/>
        </w:rPr>
        <w:t xml:space="preserve">13.4%</w:t>
      </w:r>
      <w:r>
        <w:t xml:space="preserve">, down</w:t>
      </w:r>
      <w:r>
        <w:t xml:space="preserve"> </w:t>
      </w:r>
      <w:r>
        <w:rPr>
          <w:b/>
          <w:bCs/>
        </w:rPr>
        <w:t xml:space="preserve">4.2 points</w:t>
      </w:r>
      <w:r>
        <w:t xml:space="preserve">.</w:t>
      </w:r>
    </w:p>
    <w:p>
      <w:pPr>
        <w:pStyle w:val="FirstParagraph"/>
      </w:pPr>
      <w:r>
        <w:t xml:space="preserve">Therefore, 2Q should provide the first meaningful evidence on</w:t>
      </w:r>
      <w:r>
        <w:t xml:space="preserve"> </w:t>
      </w:r>
      <w:r>
        <w:rPr>
          <w:b/>
          <w:bCs/>
        </w:rPr>
        <w:t xml:space="preserve">consumer offtake</w:t>
      </w:r>
      <w:r>
        <w:t xml:space="preserve">, repeat purchase, distribution execution, and shelf-space gains for on! PLUS—not just initial channel fill.</w:t>
      </w:r>
    </w:p>
    <w:p>
      <w:pPr>
        <w:pStyle w:val="BodyText"/>
      </w:pPr>
      <w:r>
        <w:rPr>
          <w:b/>
          <w:bCs/>
        </w:rPr>
        <w:t xml:space="preserve">What investors should watch</w:t>
      </w:r>
    </w:p>
    <w:p>
      <w:pPr>
        <w:pStyle w:val="Compact"/>
        <w:numPr>
          <w:ilvl w:val="0"/>
          <w:numId w:val="1005"/>
        </w:numPr>
      </w:pPr>
      <w:r>
        <w:t xml:space="preserve">on! shipment growth, but especially retail-share performance.</w:t>
      </w:r>
    </w:p>
    <w:p>
      <w:pPr>
        <w:pStyle w:val="Compact"/>
        <w:numPr>
          <w:ilvl w:val="0"/>
          <w:numId w:val="1005"/>
        </w:numPr>
      </w:pPr>
      <w:r>
        <w:t xml:space="preserve">The pace of on! PLUS distribution and incremental shelf placement.</w:t>
      </w:r>
    </w:p>
    <w:p>
      <w:pPr>
        <w:pStyle w:val="Compact"/>
        <w:numPr>
          <w:ilvl w:val="0"/>
          <w:numId w:val="1005"/>
        </w:numPr>
      </w:pPr>
      <w:r>
        <w:t xml:space="preserve">Oral-segment margin: 1Q adjusted OCI margin declined</w:t>
      </w:r>
      <w:r>
        <w:t xml:space="preserve"> </w:t>
      </w:r>
      <w:r>
        <w:rPr>
          <w:b/>
          <w:bCs/>
        </w:rPr>
        <w:t xml:space="preserve">180 bps to 67.4%</w:t>
      </w:r>
      <w:r>
        <w:t xml:space="preserve"> </w:t>
      </w:r>
      <w:r>
        <w:t xml:space="preserve">because of mix and increased marketing investment.</w:t>
      </w:r>
    </w:p>
    <w:p>
      <w:pPr>
        <w:pStyle w:val="Compact"/>
        <w:numPr>
          <w:ilvl w:val="0"/>
          <w:numId w:val="1005"/>
        </w:numPr>
      </w:pPr>
      <w:r>
        <w:t xml:space="preserve">Management’s outlook for promotional spending behind on! PLUS and the timing of potential additional FDA authorizations.</w:t>
      </w:r>
    </w:p>
    <w:p>
      <w:pPr>
        <w:pStyle w:val="FirstParagraph"/>
      </w:pPr>
      <w:r>
        <w:t xml:space="preserve">The strategic issue is simple: Altria needs to demonstrate that it can participate profitably in a rapidly growing pouch category despite formidable competitive pressure.</w:t>
      </w:r>
    </w:p>
    <w:bookmarkEnd w:id="14"/>
    <w:bookmarkStart w:id="15" w:name="Xed339029d145b81022ddf83bd771058cda5fee1"/>
    <w:p>
      <w:pPr>
        <w:pStyle w:val="Heading3"/>
      </w:pPr>
      <w:r>
        <w:t xml:space="preserve">4. E-vapor and enforcement: Helpful for cigarettes, but not yet a growth engine</w:t>
      </w:r>
    </w:p>
    <w:p>
      <w:pPr>
        <w:pStyle w:val="FirstParagraph"/>
      </w:pPr>
      <w:r>
        <w:t xml:space="preserve">Management’s view in 1Q was that enforcement and supply disruption had moderated growth in illicit flavored disposable vapes. It estimated the number of adult vapers was roughly flat year over year at about</w:t>
      </w:r>
      <w:r>
        <w:t xml:space="preserve"> </w:t>
      </w:r>
      <w:r>
        <w:rPr>
          <w:b/>
          <w:bCs/>
        </w:rPr>
        <w:t xml:space="preserve">20.5 million</w:t>
      </w:r>
      <w:r>
        <w:t xml:space="preserve"> </w:t>
      </w:r>
      <w:r>
        <w:t xml:space="preserve">at March-end, with disposable-vape consumers declining modestly.</w:t>
      </w:r>
    </w:p>
    <w:p>
      <w:pPr>
        <w:pStyle w:val="BodyText"/>
      </w:pPr>
      <w:r>
        <w:t xml:space="preserve">That dynamic has two implications:</w:t>
      </w:r>
    </w:p>
    <w:p>
      <w:pPr>
        <w:pStyle w:val="Compact"/>
        <w:numPr>
          <w:ilvl w:val="0"/>
          <w:numId w:val="1006"/>
        </w:numPr>
      </w:pPr>
      <w:r>
        <w:t xml:space="preserve">It may help cigarette volumes by reducing cross-category movement into illicit disposables.</w:t>
      </w:r>
    </w:p>
    <w:p>
      <w:pPr>
        <w:pStyle w:val="Compact"/>
        <w:numPr>
          <w:ilvl w:val="0"/>
          <w:numId w:val="1006"/>
        </w:numPr>
      </w:pPr>
      <w:r>
        <w:t xml:space="preserve">It does</w:t>
      </w:r>
      <w:r>
        <w:t xml:space="preserve"> </w:t>
      </w:r>
      <w:r>
        <w:rPr>
          <w:b/>
          <w:bCs/>
        </w:rPr>
        <w:t xml:space="preserve">not</w:t>
      </w:r>
      <w:r>
        <w:t xml:space="preserve"> </w:t>
      </w:r>
      <w:r>
        <w:t xml:space="preserve">yet make Altria’s e-vapor business a material earnings contributor.</w:t>
      </w:r>
    </w:p>
    <w:p>
      <w:pPr>
        <w:pStyle w:val="FirstParagraph"/>
      </w:pPr>
      <w:r>
        <w:t xml:space="preserve">Guidance still assumes</w:t>
      </w:r>
      <w:r>
        <w:t xml:space="preserve"> </w:t>
      </w:r>
      <w:r>
        <w:rPr>
          <w:b/>
          <w:bCs/>
        </w:rPr>
        <w:t xml:space="preserve">NJOY ACE does not return to the market in 2026</w:t>
      </w:r>
      <w:r>
        <w:t xml:space="preserve">. Investors should listen for any update on intellectual-property matters, the regulatory environment, and the timing/conditions under which Altria could re-enter more aggressively with ACE or another authorized product.</w:t>
      </w:r>
    </w:p>
    <w:bookmarkEnd w:id="15"/>
    <w:bookmarkStart w:id="16" w:name="X883103e8a9a9d642ceb979b2030b9270e020498"/>
    <w:p>
      <w:pPr>
        <w:pStyle w:val="Heading3"/>
      </w:pPr>
      <w:r>
        <w:t xml:space="preserve">5. Guidance and earnings cadence: Reaffirmation should be sufficient, but the call matters</w:t>
      </w:r>
    </w:p>
    <w:p>
      <w:pPr>
        <w:pStyle w:val="FirstParagraph"/>
      </w:pPr>
      <w:r>
        <w:t xml:space="preserve">After 1Q, management retained its</w:t>
      </w:r>
      <w:r>
        <w:t xml:space="preserve"> </w:t>
      </w:r>
      <m:oMath>
        <m:r>
          <m:t>5.56</m:t>
        </m:r>
        <m:r>
          <m:rPr>
            <m:sty m:val="p"/>
          </m:rPr>
          <m:t>–</m:t>
        </m:r>
      </m:oMath>
      <w:r>
        <w:rPr>
          <w:b/>
          <w:bCs/>
        </w:rPr>
        <w:t xml:space="preserve">5.72</w:t>
      </w:r>
      <w:r>
        <w:t xml:space="preserve"> </w:t>
      </w:r>
      <w:r>
        <w:t xml:space="preserve">full-year adjusted EPS range. If 2Q EPS is near the</w:t>
      </w:r>
      <w:r>
        <w:t xml:space="preserve"> </w:t>
      </w:r>
      <m:oMath>
        <m:r>
          <m:t>1.50</m:t>
        </m:r>
        <m:r>
          <m:t>c</m:t>
        </m:r>
        <m:r>
          <m:t>o</m:t>
        </m:r>
        <m:r>
          <m:t>n</m:t>
        </m:r>
        <m:r>
          <m:t>s</m:t>
        </m:r>
        <m:r>
          <m:t>e</m:t>
        </m:r>
        <m:r>
          <m:t>n</m:t>
        </m:r>
        <m:r>
          <m:t>s</m:t>
        </m:r>
        <m:r>
          <m:t>u</m:t>
        </m:r>
        <m:r>
          <m:t>s</m:t>
        </m:r>
        <m:r>
          <m:t>f</m:t>
        </m:r>
        <m:r>
          <m:t>i</m:t>
        </m:r>
        <m:r>
          <m:t>g</m:t>
        </m:r>
        <m:r>
          <m:t>u</m:t>
        </m:r>
        <m:r>
          <m:t>r</m:t>
        </m:r>
        <m:r>
          <m:t>e</m:t>
        </m:r>
        <m:r>
          <m:rPr>
            <m:sty m:val="p"/>
          </m:rPr>
          <m:t>,</m:t>
        </m:r>
        <m:r>
          <m:t>A</m:t>
        </m:r>
        <m:r>
          <m:t>l</m:t>
        </m:r>
        <m:r>
          <m:t>t</m:t>
        </m:r>
        <m:r>
          <m:t>r</m:t>
        </m:r>
        <m:r>
          <m:t>i</m:t>
        </m:r>
        <m:r>
          <m:t>a</m:t>
        </m:r>
        <m:r>
          <m:t>w</m:t>
        </m:r>
        <m:r>
          <m:t>o</m:t>
        </m:r>
        <m:r>
          <m:t>u</m:t>
        </m:r>
        <m:r>
          <m:t>l</m:t>
        </m:r>
        <m:r>
          <m:t>d</m:t>
        </m:r>
        <m:r>
          <m:t>h</m:t>
        </m:r>
        <m:r>
          <m:t>a</m:t>
        </m:r>
        <m:r>
          <m:t>v</m:t>
        </m:r>
        <m:r>
          <m:t>e</m:t>
        </m:r>
        <m:r>
          <m:t>d</m:t>
        </m:r>
        <m:r>
          <m:t>e</m:t>
        </m:r>
        <m:r>
          <m:t>l</m:t>
        </m:r>
        <m:r>
          <m:t>i</m:t>
        </m:r>
        <m:r>
          <m:t>v</m:t>
        </m:r>
        <m:r>
          <m:t>e</m:t>
        </m:r>
        <m:r>
          <m:t>r</m:t>
        </m:r>
        <m:r>
          <m:t>e</m:t>
        </m:r>
        <m:r>
          <m:t>d</m:t>
        </m:r>
        <m:r>
          <m:t>a</m:t>
        </m:r>
        <m:r>
          <m:t>p</m:t>
        </m:r>
        <m:r>
          <m:t>p</m:t>
        </m:r>
        <m:r>
          <m:t>r</m:t>
        </m:r>
        <m:r>
          <m:t>o</m:t>
        </m:r>
        <m:r>
          <m:t>x</m:t>
        </m:r>
        <m:r>
          <m:t>i</m:t>
        </m:r>
        <m:r>
          <m:t>m</m:t>
        </m:r>
        <m:r>
          <m:t>a</m:t>
        </m:r>
        <m:r>
          <m:t>t</m:t>
        </m:r>
        <m:r>
          <m:t>e</m:t>
        </m:r>
        <m:r>
          <m:t>l</m:t>
        </m:r>
        <m:r>
          <m:t>y</m:t>
        </m:r>
        <m:r>
          <m:rPr>
            <m:sty m:val="p"/>
          </m:rPr>
          <m:t>*</m:t>
        </m:r>
        <m:r>
          <m:rPr>
            <m:sty m:val="p"/>
          </m:rPr>
          <m:t>*</m:t>
        </m:r>
      </m:oMath>
      <w:r>
        <w:t xml:space="preserve">2.82** in first-half adjusted EPS. That would leave roughly</w:t>
      </w:r>
      <w:r>
        <w:t xml:space="preserve"> </w:t>
      </w:r>
      <m:oMath>
        <m:r>
          <m:t>2.74</m:t>
        </m:r>
        <m:r>
          <m:rPr>
            <m:sty m:val="p"/>
          </m:rPr>
          <m:t>–</m:t>
        </m:r>
      </m:oMath>
      <w:r>
        <w:rPr>
          <w:b/>
          <w:bCs/>
        </w:rPr>
        <w:t xml:space="preserve">2.90</w:t>
      </w:r>
      <w:r>
        <w:t xml:space="preserve"> </w:t>
      </w:r>
      <w:r>
        <w:t xml:space="preserve">for the second half—consistent with a full-year outlook that is achievable without requiring a major acceleration.</w:t>
      </w:r>
    </w:p>
    <w:p>
      <w:pPr>
        <w:pStyle w:val="BodyText"/>
      </w:pPr>
      <w:r>
        <w:t xml:space="preserve">Accordingly, a</w:t>
      </w:r>
      <w:r>
        <w:t xml:space="preserve"> </w:t>
      </w:r>
      <w:r>
        <w:rPr>
          <w:b/>
          <w:bCs/>
        </w:rPr>
        <w:t xml:space="preserve">guidance raise is not necessary</w:t>
      </w:r>
      <w:r>
        <w:t xml:space="preserve"> </w:t>
      </w:r>
      <w:r>
        <w:t xml:space="preserve">for a favorable reaction. More important will be whether management:</w:t>
      </w:r>
    </w:p>
    <w:p>
      <w:pPr>
        <w:pStyle w:val="Compact"/>
        <w:numPr>
          <w:ilvl w:val="0"/>
          <w:numId w:val="1007"/>
        </w:numPr>
      </w:pPr>
      <w:r>
        <w:t xml:space="preserve">reiterates its confidence in price-led earnings growth;</w:t>
      </w:r>
    </w:p>
    <w:p>
      <w:pPr>
        <w:pStyle w:val="Compact"/>
        <w:numPr>
          <w:ilvl w:val="0"/>
          <w:numId w:val="1007"/>
        </w:numPr>
      </w:pPr>
      <w:r>
        <w:t xml:space="preserve">characterizes cigarette-volume moderation as durable;</w:t>
      </w:r>
    </w:p>
    <w:p>
      <w:pPr>
        <w:pStyle w:val="Compact"/>
        <w:numPr>
          <w:ilvl w:val="0"/>
          <w:numId w:val="1007"/>
        </w:numPr>
      </w:pPr>
      <w:r>
        <w:t xml:space="preserve">keeps investment behind on! PLUS disciplined;</w:t>
      </w:r>
    </w:p>
    <w:p>
      <w:pPr>
        <w:pStyle w:val="Compact"/>
        <w:numPr>
          <w:ilvl w:val="0"/>
          <w:numId w:val="1007"/>
        </w:numPr>
      </w:pPr>
      <w:r>
        <w:t xml:space="preserve">confirms that smokeable import/export and duty-drawback benefits continue to build through the year; and</w:t>
      </w:r>
    </w:p>
    <w:p>
      <w:pPr>
        <w:pStyle w:val="Compact"/>
        <w:numPr>
          <w:ilvl w:val="0"/>
          <w:numId w:val="1007"/>
        </w:numPr>
      </w:pPr>
      <w:r>
        <w:t xml:space="preserve">avoids signaling a sharper consumer trade-down or greater promotional intensity.</w:t>
      </w:r>
    </w:p>
    <w:p>
      <w:pPr>
        <w:pStyle w:val="FirstParagraph"/>
      </w:pPr>
      <w:r>
        <w:t xml:space="preserve">Management said in April that duty-drawback benefits and contract-manufactured export volumes should increase as the year progresses. That is a legitimate 2H earnings support, but investors may discount it if it appears too transitory relative to underlying operating trends.</w:t>
      </w:r>
    </w:p>
    <w:bookmarkEnd w:id="16"/>
    <w:bookmarkEnd w:id="17"/>
    <w:bookmarkStart w:id="18" w:name="capital-returns-and-balance-sheet"/>
    <w:p>
      <w:pPr>
        <w:pStyle w:val="Heading2"/>
      </w:pPr>
      <w:r>
        <w:t xml:space="preserve">Capital returns and balance sheet</w:t>
      </w:r>
    </w:p>
    <w:p>
      <w:pPr>
        <w:pStyle w:val="FirstParagraph"/>
      </w:pPr>
      <w:r>
        <w:t xml:space="preserve">MO’s income case remains central. In 1Q, the company paid</w:t>
      </w:r>
      <w:r>
        <w:t xml:space="preserve"> </w:t>
      </w:r>
      <m:oMath>
        <m:r>
          <m:t>1.8</m:t>
        </m:r>
        <m:r>
          <m:t>b</m:t>
        </m:r>
        <m:r>
          <m:t>i</m:t>
        </m:r>
        <m:r>
          <m:t>l</m:t>
        </m:r>
        <m:r>
          <m:t>l</m:t>
        </m:r>
        <m:r>
          <m:t>i</m:t>
        </m:r>
        <m:r>
          <m:t>o</m:t>
        </m:r>
        <m:r>
          <m:t>n</m:t>
        </m:r>
        <m:r>
          <m:t>i</m:t>
        </m:r>
        <m:r>
          <m:t>n</m:t>
        </m:r>
        <m:r>
          <m:t>d</m:t>
        </m:r>
        <m:r>
          <m:t>i</m:t>
        </m:r>
        <m:r>
          <m:t>v</m:t>
        </m:r>
        <m:r>
          <m:t>i</m:t>
        </m:r>
        <m:r>
          <m:t>d</m:t>
        </m:r>
        <m:r>
          <m:t>e</m:t>
        </m:r>
        <m:r>
          <m:t>n</m:t>
        </m:r>
        <m:r>
          <m:t>d</m:t>
        </m:r>
        <m:r>
          <m:t>s</m:t>
        </m:r>
        <m:r>
          <m:rPr>
            <m:sty m:val="p"/>
          </m:rPr>
          <m:t>*</m:t>
        </m:r>
        <m:r>
          <m:rPr>
            <m:sty m:val="p"/>
          </m:rPr>
          <m:t>*</m:t>
        </m:r>
        <m:r>
          <m:t>a</m:t>
        </m:r>
        <m:r>
          <m:t>n</m:t>
        </m:r>
        <m:r>
          <m:t>d</m:t>
        </m:r>
        <m:r>
          <m:t>r</m:t>
        </m:r>
        <m:r>
          <m:t>e</m:t>
        </m:r>
        <m:r>
          <m:t>p</m:t>
        </m:r>
        <m:r>
          <m:t>u</m:t>
        </m:r>
        <m:r>
          <m:t>r</m:t>
        </m:r>
        <m:r>
          <m:t>c</m:t>
        </m:r>
        <m:r>
          <m:t>h</m:t>
        </m:r>
        <m:r>
          <m:t>a</m:t>
        </m:r>
        <m:r>
          <m:t>s</m:t>
        </m:r>
        <m:r>
          <m:t>e</m:t>
        </m:r>
        <m:r>
          <m:t>d</m:t>
        </m:r>
        <m:r>
          <m:rPr>
            <m:sty m:val="p"/>
          </m:rPr>
          <m:t>*</m:t>
        </m:r>
        <m:r>
          <m:rPr>
            <m:sty m:val="p"/>
          </m:rPr>
          <m:t>*</m:t>
        </m:r>
      </m:oMath>
      <w:r>
        <w:rPr>
          <w:b/>
          <w:bCs/>
        </w:rPr>
        <w:t xml:space="preserve">280 million</w:t>
      </w:r>
      <w:r>
        <w:t xml:space="preserve"> </w:t>
      </w:r>
      <w:r>
        <w:t xml:space="preserve">of shares. At March 31, it had</w:t>
      </w:r>
      <w:r>
        <w:t xml:space="preserve"> </w:t>
      </w:r>
      <w:r>
        <w:rPr>
          <w:b/>
          <w:bCs/>
        </w:rPr>
        <w:t xml:space="preserve">$720 million</w:t>
      </w:r>
      <w:r>
        <w:t xml:space="preserve"> </w:t>
      </w:r>
      <w:r>
        <w:t xml:space="preserve">remaining under its</w:t>
      </w:r>
      <w:r>
        <w:t xml:space="preserve"> </w:t>
      </w:r>
      <m:oMath>
        <m:r>
          <m:t>2</m:t>
        </m:r>
        <m:r>
          <m:t>b</m:t>
        </m:r>
        <m:r>
          <m:t>i</m:t>
        </m:r>
        <m:r>
          <m:t>l</m:t>
        </m:r>
        <m:r>
          <m:t>l</m:t>
        </m:r>
        <m:r>
          <m:t>i</m:t>
        </m:r>
        <m:r>
          <m:t>o</m:t>
        </m:r>
        <m:r>
          <m:t>n</m:t>
        </m:r>
        <m:r>
          <m:t>s</m:t>
        </m:r>
        <m:r>
          <m:t>h</m:t>
        </m:r>
        <m:r>
          <m:t>a</m:t>
        </m:r>
        <m:r>
          <m:t>r</m:t>
        </m:r>
        <m:r>
          <m:t>e</m:t>
        </m:r>
        <m:r>
          <m:rPr>
            <m:sty m:val="p"/>
          </m:rPr>
          <m:t>−</m:t>
        </m:r>
        <m:r>
          <m:t>r</m:t>
        </m:r>
        <m:r>
          <m:t>e</m:t>
        </m:r>
        <m:r>
          <m:t>p</m:t>
        </m:r>
        <m:r>
          <m:t>u</m:t>
        </m:r>
        <m:r>
          <m:t>r</m:t>
        </m:r>
        <m:r>
          <m:t>c</m:t>
        </m:r>
        <m:r>
          <m:t>h</m:t>
        </m:r>
        <m:r>
          <m:t>a</m:t>
        </m:r>
        <m:r>
          <m:t>s</m:t>
        </m:r>
        <m:r>
          <m:t>e</m:t>
        </m:r>
        <m:r>
          <m:t>a</m:t>
        </m:r>
        <m:r>
          <m:t>u</m:t>
        </m:r>
        <m:r>
          <m:t>t</m:t>
        </m:r>
        <m:r>
          <m:t>h</m:t>
        </m:r>
        <m:r>
          <m:t>o</m:t>
        </m:r>
        <m:r>
          <m:t>r</m:t>
        </m:r>
        <m:r>
          <m:t>i</m:t>
        </m:r>
        <m:r>
          <m:t>z</m:t>
        </m:r>
        <m:r>
          <m:t>a</m:t>
        </m:r>
        <m:r>
          <m:t>t</m:t>
        </m:r>
        <m:r>
          <m:t>i</m:t>
        </m:r>
        <m:r>
          <m:t>o</m:t>
        </m:r>
        <m:r>
          <m:t>n</m:t>
        </m:r>
        <m:r>
          <m:rPr>
            <m:sty m:val="p"/>
          </m:rPr>
          <m:t>,</m:t>
        </m:r>
        <m:r>
          <m:t>w</m:t>
        </m:r>
        <m:r>
          <m:t>h</m:t>
        </m:r>
        <m:r>
          <m:t>i</m:t>
        </m:r>
        <m:r>
          <m:t>c</m:t>
        </m:r>
        <m:r>
          <m:t>h</m:t>
        </m:r>
        <m:r>
          <m:t>e</m:t>
        </m:r>
        <m:r>
          <m:t>x</m:t>
        </m:r>
        <m:r>
          <m:t>p</m:t>
        </m:r>
        <m:r>
          <m:t>i</m:t>
        </m:r>
        <m:r>
          <m:t>r</m:t>
        </m:r>
        <m:r>
          <m:t>e</m:t>
        </m:r>
        <m:r>
          <m:t>s</m:t>
        </m:r>
        <m:r>
          <m:t>a</m:t>
        </m:r>
        <m:r>
          <m:t>t</m:t>
        </m:r>
        <m:r>
          <m:t>y</m:t>
        </m:r>
        <m:r>
          <m:t>e</m:t>
        </m:r>
        <m:r>
          <m:t>a</m:t>
        </m:r>
        <m:r>
          <m:t>r</m:t>
        </m:r>
        <m:r>
          <m:rPr>
            <m:sty m:val="p"/>
          </m:rPr>
          <m:t>−</m:t>
        </m:r>
        <m:r>
          <m:t>e</m:t>
        </m:r>
        <m:r>
          <m:t>n</m:t>
        </m:r>
        <m:r>
          <m:t>d</m:t>
        </m:r>
        <m:r>
          <m:rPr>
            <m:sty m:val="p"/>
          </m:rPr>
          <m:t>.</m:t>
        </m:r>
        <m:r>
          <m:t>T</m:t>
        </m:r>
        <m:r>
          <m:t>o</m:t>
        </m:r>
        <m:r>
          <m:t>t</m:t>
        </m:r>
        <m:r>
          <m:t>a</m:t>
        </m:r>
        <m:r>
          <m:t>l</m:t>
        </m:r>
        <m:r>
          <m:t>d</m:t>
        </m:r>
        <m:r>
          <m:t>e</m:t>
        </m:r>
        <m:r>
          <m:t>b</m:t>
        </m:r>
        <m:r>
          <m:t>t</m:t>
        </m:r>
        <m:r>
          <m:t>w</m:t>
        </m:r>
        <m:r>
          <m:t>a</m:t>
        </m:r>
        <m:r>
          <m:t>s</m:t>
        </m:r>
        <m:r>
          <m:rPr>
            <m:sty m:val="p"/>
          </m:rPr>
          <m:t>*</m:t>
        </m:r>
        <m:r>
          <m:rPr>
            <m:sty m:val="p"/>
          </m:rPr>
          <m:t>*</m:t>
        </m:r>
      </m:oMath>
      <w:r>
        <w:t xml:space="preserve">24.6 billion**, but management reported debt-to-EBITDA of</w:t>
      </w:r>
      <w:r>
        <w:t xml:space="preserve"> </w:t>
      </w:r>
      <w:r>
        <w:rPr>
          <w:b/>
          <w:bCs/>
        </w:rPr>
        <w:t xml:space="preserve">1.9x</w:t>
      </w:r>
      <w:r>
        <w:t xml:space="preserve">, in line with its target.</w:t>
      </w:r>
    </w:p>
    <w:p>
      <w:pPr>
        <w:pStyle w:val="BodyText"/>
      </w:pPr>
      <w:r>
        <w:t xml:space="preserve">The 2Q release should update:</w:t>
      </w:r>
    </w:p>
    <w:p>
      <w:pPr>
        <w:pStyle w:val="Compact"/>
        <w:numPr>
          <w:ilvl w:val="0"/>
          <w:numId w:val="1008"/>
        </w:numPr>
      </w:pPr>
      <w:r>
        <w:t xml:space="preserve">repurchase pace and remaining authorization;</w:t>
      </w:r>
    </w:p>
    <w:p>
      <w:pPr>
        <w:pStyle w:val="Compact"/>
        <w:numPr>
          <w:ilvl w:val="0"/>
          <w:numId w:val="1008"/>
        </w:numPr>
      </w:pPr>
      <w:r>
        <w:t xml:space="preserve">debt reduction/refinancing activity;</w:t>
      </w:r>
    </w:p>
    <w:p>
      <w:pPr>
        <w:pStyle w:val="Compact"/>
        <w:numPr>
          <w:ilvl w:val="0"/>
          <w:numId w:val="1008"/>
        </w:numPr>
      </w:pPr>
      <w:r>
        <w:t xml:space="preserve">cash deployment priorities; and</w:t>
      </w:r>
    </w:p>
    <w:p>
      <w:pPr>
        <w:pStyle w:val="Compact"/>
        <w:numPr>
          <w:ilvl w:val="0"/>
          <w:numId w:val="1008"/>
        </w:numPr>
      </w:pPr>
      <w:r>
        <w:t xml:space="preserve">any indication of confidence around the dividend trajectory.</w:t>
      </w:r>
    </w:p>
    <w:bookmarkEnd w:id="18"/>
    <w:bookmarkStart w:id="19" w:name="Xdc22fe58eaffa9d0e1f068b3fbdb7391036b48b"/>
    <w:p>
      <w:pPr>
        <w:pStyle w:val="Heading2"/>
      </w:pPr>
      <w:r>
        <w:t xml:space="preserve">New management team: First full earnings test</w:t>
      </w:r>
    </w:p>
    <w:p>
      <w:pPr>
        <w:pStyle w:val="FirstParagraph"/>
      </w:pPr>
      <w:r>
        <w:t xml:space="preserve">This is an important call from a credibility perspective.</w:t>
      </w:r>
      <w:r>
        <w:t xml:space="preserve"> </w:t>
      </w:r>
      <w:r>
        <w:rPr>
          <w:b/>
          <w:bCs/>
        </w:rPr>
        <w:t xml:space="preserve">Salvatore Mancuso became CEO effective May 14, 2026</w:t>
      </w:r>
      <w:r>
        <w:t xml:space="preserve">, while</w:t>
      </w:r>
      <w:r>
        <w:t xml:space="preserve"> </w:t>
      </w:r>
      <w:r>
        <w:rPr>
          <w:b/>
          <w:bCs/>
        </w:rPr>
        <w:t xml:space="preserve">Heather Newman became CFO</w:t>
      </w:r>
      <w:r>
        <w:t xml:space="preserve"> </w:t>
      </w:r>
      <w:r>
        <w:t xml:space="preserve">at the same time. Former CEO Billy Gifford remains a consultant through December 31, 2026.</w:t>
      </w:r>
    </w:p>
    <w:p>
      <w:pPr>
        <w:pStyle w:val="BodyText"/>
      </w:pPr>
      <w:r>
        <w:t xml:space="preserve">The strategy is unlikely to change abruptly, but investors will be assessing whether the new leadership team communicates with the same discipline around pricing, consumer affordability, smoke-free investment, and shareholder returns.</w:t>
      </w:r>
    </w:p>
    <w:bookmarkEnd w:id="19"/>
    <w:bookmarkStart w:id="20" w:name="key-questions-for-the-call"/>
    <w:p>
      <w:pPr>
        <w:pStyle w:val="Heading2"/>
      </w:pPr>
      <w:r>
        <w:t xml:space="preserve">Key questions for the call</w:t>
      </w:r>
    </w:p>
    <w:p>
      <w:pPr>
        <w:numPr>
          <w:ilvl w:val="0"/>
          <w:numId w:val="1009"/>
        </w:numPr>
      </w:pPr>
      <w:r>
        <w:rPr>
          <w:b/>
          <w:bCs/>
        </w:rPr>
        <w:t xml:space="preserve">How much of the cigarette-volume improvement is structural versus temporary?</w:t>
      </w:r>
      <w:r>
        <w:br/>
      </w:r>
      <w:r>
        <w:t xml:space="preserve">Specifically: enforcement, retailer inventories, easier comparisons, or genuinely slower consumer migration into illicit vapes?</w:t>
      </w:r>
    </w:p>
    <w:p>
      <w:pPr>
        <w:numPr>
          <w:ilvl w:val="0"/>
          <w:numId w:val="1009"/>
        </w:numPr>
      </w:pPr>
      <w:r>
        <w:rPr>
          <w:b/>
          <w:bCs/>
        </w:rPr>
        <w:t xml:space="preserve">Is Marlboro’s total-category share stabilizing?</w:t>
      </w:r>
      <w:r>
        <w:br/>
      </w:r>
      <w:r>
        <w:t xml:space="preserve">Premium-segment share has held up better, but total share remains under pressure as consumers trade down.</w:t>
      </w:r>
    </w:p>
    <w:p>
      <w:pPr>
        <w:numPr>
          <w:ilvl w:val="0"/>
          <w:numId w:val="1009"/>
        </w:numPr>
      </w:pPr>
      <w:r>
        <w:rPr>
          <w:b/>
          <w:bCs/>
        </w:rPr>
        <w:t xml:space="preserve">What does early on! PLUS retail data show?</w:t>
      </w:r>
      <w:r>
        <w:br/>
      </w:r>
      <w:r>
        <w:t xml:space="preserve">Investors need more than shipment and distribution data: repeat purchase, shelf-space wins, retail share, and incremental category participation will matter most.</w:t>
      </w:r>
    </w:p>
    <w:p>
      <w:pPr>
        <w:numPr>
          <w:ilvl w:val="0"/>
          <w:numId w:val="1009"/>
        </w:numPr>
      </w:pPr>
      <w:r>
        <w:rPr>
          <w:b/>
          <w:bCs/>
        </w:rPr>
        <w:t xml:space="preserve">Can oral margins recover while on! PLUS scales?</w:t>
      </w:r>
      <w:r>
        <w:br/>
      </w:r>
      <w:r>
        <w:t xml:space="preserve">The company must balance growth investment against the need to protect a historically high-margin oral-tobacco segment.</w:t>
      </w:r>
    </w:p>
    <w:p>
      <w:pPr>
        <w:numPr>
          <w:ilvl w:val="0"/>
          <w:numId w:val="1009"/>
        </w:numPr>
      </w:pPr>
      <w:r>
        <w:rPr>
          <w:b/>
          <w:bCs/>
        </w:rPr>
        <w:t xml:space="preserve">What is the current consumer-affordability assessment?</w:t>
      </w:r>
      <w:r>
        <w:br/>
      </w:r>
      <w:r>
        <w:t xml:space="preserve">Any evidence of broadening trade-down, reduced purchase frequency, or higher promotional requirements would be a warning sign.</w:t>
      </w:r>
    </w:p>
    <w:p>
      <w:pPr>
        <w:numPr>
          <w:ilvl w:val="0"/>
          <w:numId w:val="1009"/>
        </w:numPr>
      </w:pPr>
      <w:r>
        <w:rPr>
          <w:b/>
          <w:bCs/>
        </w:rPr>
        <w:t xml:space="preserve">Is e-vapor enforcement improving enough to alter the company’s strategy?</w:t>
      </w:r>
      <w:r>
        <w:br/>
      </w:r>
      <w:r>
        <w:t xml:space="preserve">The market will look for a practical timetable for a more meaningful authorized-vape offering, while recognizing that ACE is still assumed absent in 2026.</w:t>
      </w:r>
    </w:p>
    <w:bookmarkEnd w:id="20"/>
    <w:bookmarkStart w:id="22" w:name="investment-view-into-the-print"/>
    <w:p>
      <w:pPr>
        <w:pStyle w:val="Heading2"/>
      </w:pPr>
      <w:r>
        <w:t xml:space="preserve">Investment view into the print</w:t>
      </w:r>
    </w:p>
    <w:p>
      <w:pPr>
        <w:pStyle w:val="FirstParagraph"/>
      </w:pPr>
      <w:r>
        <w:rPr>
          <w:b/>
          <w:bCs/>
        </w:rPr>
        <w:t xml:space="preserve">The bar appears reasonable rather than extreme.</w:t>
      </w:r>
      <w:r>
        <w:t xml:space="preserve"> </w:t>
      </w:r>
      <w:r>
        <w:t xml:space="preserve">A quarter near or above consensus with reaffirmed guidance should be enough if it comes with evidence that smokeable trends remain better than 2025 and that on! PLUS is gaining real retail traction. The more consequential downside risk is not a small EPS miss; it is a combination of renewed Marlboro share loss, an accelerating discount mix, and weak pouch-market share that calls the long-term smoke-free transition into question.</w:t>
      </w:r>
    </w:p>
    <w:p>
      <w:pPr>
        <w:pStyle w:val="BodyText"/>
      </w:pPr>
      <w:r>
        <w:rPr>
          <w:b/>
          <w:bCs/>
        </w:rPr>
        <w:t xml:space="preserve">Most important data point:</w:t>
      </w:r>
      <w:r>
        <w:t xml:space="preserve"> </w:t>
      </w:r>
      <w:r>
        <w:t xml:space="preserve">the relationship between</w:t>
      </w:r>
      <w:r>
        <w:t xml:space="preserve"> </w:t>
      </w:r>
      <w:r>
        <w:rPr>
          <w:b/>
          <w:bCs/>
        </w:rPr>
        <w:t xml:space="preserve">cigarette-volume trends and price/mix</w:t>
      </w:r>
      <w:r>
        <w:t xml:space="preserve">. Altria can absorb declining volumes when pricing remains strong. It will be much harder to sustain its earnings algorithm if the consumer requires a materially more promotional, discount-led marketplace.</w:t>
      </w:r>
    </w:p>
    <w:p>
      <w:r>
        <w:pict>
          <v:rect style="width:0;height:1.5pt" o:hralign="center" o:hrstd="t" o:hr="t"/>
        </w:pict>
      </w:r>
    </w:p>
    <w:bookmarkStart w:id="21" w:name="primary-research-reviewed"/>
    <w:p>
      <w:pPr>
        <w:pStyle w:val="Heading3"/>
      </w:pPr>
      <w:r>
        <w:t xml:space="preserve">Primary research reviewed</w:t>
      </w:r>
    </w:p>
    <w:p>
      <w:pPr>
        <w:pStyle w:val="Compact"/>
        <w:numPr>
          <w:ilvl w:val="0"/>
          <w:numId w:val="1010"/>
        </w:numPr>
      </w:pPr>
      <w:r>
        <w:t xml:space="preserve">Altria 1Q26 earnings release and earnings-call transcript, April 30, 2026.</w:t>
      </w:r>
    </w:p>
    <w:p>
      <w:pPr>
        <w:pStyle w:val="Compact"/>
        <w:numPr>
          <w:ilvl w:val="0"/>
          <w:numId w:val="1010"/>
        </w:numPr>
      </w:pPr>
      <w:r>
        <w:t xml:space="preserve">Altria 2Q25 earnings release, July 30, 2025.</w:t>
      </w:r>
    </w:p>
    <w:p>
      <w:pPr>
        <w:pStyle w:val="Compact"/>
        <w:numPr>
          <w:ilvl w:val="0"/>
          <w:numId w:val="1010"/>
        </w:numPr>
      </w:pPr>
      <w:r>
        <w:t xml:space="preserve">Altria May 2026 Form 8-K covering CEO/CFO transitions.</w:t>
      </w:r>
    </w:p>
    <w:p>
      <w:pPr>
        <w:pStyle w:val="Compact"/>
        <w:numPr>
          <w:ilvl w:val="0"/>
          <w:numId w:val="1010"/>
        </w:numPr>
      </w:pPr>
      <w:r>
        <w:t xml:space="preserve">Altria’s confirmed 2Q26 webcast notice. (</w:t>
      </w:r>
      <w:hyperlink r:id="rId9">
        <w:r>
          <w:rPr>
            <w:rStyle w:val="Hyperlink"/>
          </w:rPr>
          <w:t xml:space="preserve">investor.altria.com</w:t>
        </w:r>
      </w:hyperlink>
      <w:r>
        <w:t xml:space="preserve">)</w:t>
      </w:r>
    </w:p>
    <w:bookmarkEnd w:id="21"/>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altria.com/press-releases/news-details/2026/Altria-to-Host-Webcast-of-2026-Second-Quarter-and-First-Half-Results/default.aspx?utm_source=openai" TargetMode="External" /><Relationship Type="http://schemas.openxmlformats.org/officeDocument/2006/relationships/hyperlink" Id="rId10" Target="https://www.tipranks.com/stocks/mo/earnings?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altria.com/press-releases/news-details/2026/Altria-to-Host-Webcast-of-2026-Second-Quarter-and-First-Half-Results/default.aspx?utm_source=openai" TargetMode="External" /><Relationship Type="http://schemas.openxmlformats.org/officeDocument/2006/relationships/hyperlink" Id="rId10" Target="https://www.tipranks.com/stocks/mo/earning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2026-07-29T18:25:50Z</dcterms:created>
  <dcterms:modified xsi:type="dcterms:W3CDTF">2026-07-29T18:25:50Z</dcterms:modified>
</cp:coreProperties>
</file>

<file path=docProps/custom.xml><?xml version="1.0" encoding="utf-8"?>
<Properties xmlns="http://schemas.openxmlformats.org/officeDocument/2006/custom-properties" xmlns:vt="http://schemas.openxmlformats.org/officeDocument/2006/docPropsVTypes"/>
</file>