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Altria Group, Inc. (MO) — Earnings Preview</w:t>
      </w:r>
    </w:p>
    <w:p>
      <w:r>
        <w:rPr>
          <w:rFonts w:ascii="Calibri" w:hAnsi="Calibri"/>
          <w:b/>
          <w:color w:val="525866"/>
          <w:sz w:val="22"/>
        </w:rPr>
        <w:t xml:space="preserve">Ticker: </w:t>
      </w:r>
      <w:r>
        <w:rPr>
          <w:rFonts w:ascii="Calibri" w:hAnsi="Calibri"/>
          <w:color w:val="525866"/>
          <w:sz w:val="22"/>
        </w:rPr>
        <w:t xml:space="preserve">MO  </w:t>
      </w:r>
      <w:r>
        <w:rPr>
          <w:rFonts w:ascii="Calibri" w:hAnsi="Calibri"/>
          <w:b/>
          <w:color w:val="525866"/>
          <w:sz w:val="22"/>
        </w:rPr>
        <w:t xml:space="preserve">Earnings Date: </w:t>
      </w:r>
      <w:r>
        <w:rPr>
          <w:rFonts w:ascii="Calibri" w:hAnsi="Calibri"/>
          <w:color w:val="525866"/>
          <w:sz w:val="22"/>
        </w:rPr>
        <w:t xml:space="preserve">July 30, 2026 (Before Market Open)  </w:t>
      </w:r>
      <w:r>
        <w:rPr>
          <w:rFonts w:ascii="Calibri" w:hAnsi="Calibri"/>
          <w:b/>
          <w:color w:val="525866"/>
          <w:sz w:val="22"/>
        </w:rPr>
        <w:t xml:space="preserve">Prepared: </w:t>
      </w:r>
      <w:r>
        <w:rPr>
          <w:rFonts w:ascii="Calibri" w:hAnsi="Calibri"/>
          <w:color w:val="525866"/>
          <w:sz w:val="22"/>
        </w:rPr>
        <w:t xml:space="preserve">July 29, 2026  </w:t>
      </w:r>
      <w:r>
        <w:rPr>
          <w:rFonts w:ascii="Calibri" w:hAnsi="Calibri"/>
          <w:b/>
          <w:color w:val="525866"/>
          <w:sz w:val="22"/>
        </w:rPr>
        <w:t xml:space="preserve">Reporting Period: </w:t>
      </w:r>
      <w:r>
        <w:rPr>
          <w:rFonts w:ascii="Calibri" w:hAnsi="Calibri"/>
          <w:color w:val="525866"/>
          <w:sz w:val="22"/>
        </w:rPr>
        <w:t>Q2 2026 (fiscal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EPS of ~$1.49–$1.50 represents a manageable bar after Q1's strong beat, and the single biggest swing factor is whether cigarette volume declines continue to moderate or re-accelerate amid persistent macro pressure on value-sensitive smokers.</w:t>
      </w:r>
    </w:p>
    <w:p>
      <w:r>
        <w:rPr>
          <w:rFonts w:ascii="Calibri" w:hAnsi="Calibri"/>
          <w:color w:val="525866"/>
          <w:sz w:val="22"/>
        </w:rPr>
        <w:t xml:space="preserve">Heading into Q2 2026, the bar for MO looks achievable but not easy: </w:t>
      </w:r>
      <w:r>
        <w:rPr>
          <w:rFonts w:ascii="Calibri" w:hAnsi="Calibri"/>
          <w:b/>
          <w:color w:val="525866"/>
          <w:sz w:val="22"/>
        </w:rPr>
        <w:t>consensus adjusted diluted EPS sits at ~$1.49</w:t>
      </w:r>
      <w:r>
        <w:rPr>
          <w:rFonts w:ascii="Calibri" w:hAnsi="Calibri"/>
          <w:color w:val="525866"/>
          <w:sz w:val="22"/>
        </w:rPr>
        <w:t xml:space="preserve"> (Visible Alpha), implying ~3.5% YoY growth off a $1.44 Q2 2025 actual, and the full-year guidance range of $5.56–$5.72 remains intact after Q1's beat shifted phasing to a more balanced H1/H2 split. </w:t>
      </w:r>
      <w:r>
        <w:rPr>
          <w:rFonts w:ascii="Calibri" w:hAnsi="Calibri"/>
          <w:b/>
          <w:color w:val="525866"/>
          <w:sz w:val="22"/>
        </w:rPr>
        <w:t>Management's tone on the Q1 call was measured-to-cautious</w:t>
      </w:r>
      <w:r>
        <w:rPr>
          <w:rFonts w:ascii="Calibri" w:hAnsi="Calibri"/>
          <w:color w:val="525866"/>
          <w:sz w:val="22"/>
        </w:rPr>
        <w:t xml:space="preserve"> — they chose to reaffirm rather than raise guidance, explicitly citing elevated gas prices and macro uncertainty weighing on price-sensitive smokers, which is the same headwind that drove a 2.4 share-point YoY gain in the discount cigarette segment in Q1. </w:t>
      </w:r>
      <w:r>
        <w:rPr>
          <w:rFonts w:ascii="Calibri" w:hAnsi="Calibri"/>
          <w:b/>
          <w:color w:val="525866"/>
          <w:sz w:val="22"/>
        </w:rPr>
        <w:t>Estimate revisions have been broadly stable since the Q1 print</w:t>
      </w:r>
      <w:r>
        <w:rPr>
          <w:rFonts w:ascii="Calibri" w:hAnsi="Calibri"/>
          <w:color w:val="525866"/>
          <w:sz w:val="22"/>
        </w:rPr>
        <w:t xml:space="preserve"> (Q2 consensus moved only marginally from $1.486 to $1.495 in the five weeks post-earnings), suggesting the Street is neither chasing upside nor cutting numbers — a neutral revision backdrop that leaves room for a modest beat if smokeable volumes hold. </w:t>
      </w:r>
      <w:r>
        <w:rPr>
          <w:rFonts w:ascii="Calibri" w:hAnsi="Calibri"/>
          <w:b/>
          <w:color w:val="525866"/>
          <w:sz w:val="22"/>
        </w:rPr>
        <w:t>The stock has performed roughly in line with XLP (+3.1% vs. +3.6% for XLP) since the April 30 earnings date</w:t>
      </w:r>
      <w:r>
        <w:rPr>
          <w:rFonts w:ascii="Calibri" w:hAnsi="Calibri"/>
          <w:color w:val="525866"/>
          <w:sz w:val="22"/>
        </w:rPr>
        <w:t xml:space="preserve">, trading at a modest discount to historical multiples and reflecting continued market skepticism about the smoke-free transition, which means the stock is not priced for a beat. </w:t>
      </w:r>
      <w:r>
        <w:rPr>
          <w:rFonts w:ascii="Calibri" w:hAnsi="Calibri"/>
          <w:b/>
          <w:color w:val="525866"/>
          <w:sz w:val="22"/>
        </w:rPr>
        <w:t>The key wildcard is on! PLUS momentum</w:t>
      </w:r>
      <w:r>
        <w:rPr>
          <w:rFonts w:ascii="Calibri" w:hAnsi="Calibri"/>
          <w:color w:val="525866"/>
          <w:sz w:val="22"/>
        </w:rPr>
        <w:t>: PM's Q2 2026 earnings (reported July 22) confirmed Zyn shipments grew only 2% YoY and that Zyn is losing share due to pricing and portfolio gaps — a direct read-through that on! PLUS is gaining traction in the competitive nicotine pouch market, which could surprise positively on the OTP segment.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the Street expects ~3.5% EPS growth YoY, broadly in line with guidance phasing. </w:t>
      </w:r>
      <w:r>
        <w:rPr>
          <w:rFonts w:ascii="Calibri" w:hAnsi="Calibri"/>
          <w:b/>
          <w:color w:val="525866"/>
          <w:sz w:val="22"/>
        </w:rPr>
        <w:t>Smokeable net revenue and OCI margin are the bigger swing factors</w:t>
      </w:r>
      <w:r>
        <w:rPr>
          <w:rFonts w:ascii="Calibri" w:hAnsi="Calibri"/>
          <w:color w:val="525866"/>
          <w:sz w:val="22"/>
        </w:rPr>
        <w:t>: if cigarette volume declines moderate further (as they did for four consecutive quarters through Q1 2026), pricing power can drive another beat; if macro pressure re-accelerates trade-down, the miss risk is real.</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Diluted EPS ($)</w:t>
            </w:r>
          </w:p>
        </w:tc>
        <w:tc>
          <w:tcPr>
            <w:tcW w:type="dxa" w:w="1234"/>
          </w:tcPr>
          <w:p>
            <w:r>
              <w:rPr>
                <w:rFonts w:ascii="Calibri" w:hAnsi="Calibri"/>
                <w:sz w:val="22"/>
              </w:rPr>
              <w:t>$1.32</w:t>
            </w:r>
          </w:p>
        </w:tc>
        <w:tc>
          <w:tcPr>
            <w:tcW w:type="dxa" w:w="1234"/>
          </w:tcPr>
          <w:p>
            <w:r>
              <w:rPr>
                <w:rFonts w:ascii="Calibri" w:hAnsi="Calibri"/>
                <w:sz w:val="22"/>
              </w:rPr>
              <w:t>$1.44</w:t>
            </w:r>
          </w:p>
        </w:tc>
        <w:tc>
          <w:tcPr>
            <w:tcW w:type="dxa" w:w="1234"/>
          </w:tcPr>
          <w:p>
            <w:r>
              <w:rPr>
                <w:rFonts w:ascii="Calibri" w:hAnsi="Calibri"/>
                <w:sz w:val="22"/>
              </w:rPr>
              <w:t>$1.495</w:t>
            </w:r>
          </w:p>
        </w:tc>
        <w:tc>
          <w:tcPr>
            <w:tcW w:type="dxa" w:w="1234"/>
          </w:tcPr>
          <w:p>
            <w:r>
              <w:rPr>
                <w:rFonts w:ascii="Calibri" w:hAnsi="Calibri"/>
                <w:sz w:val="22"/>
              </w:rPr>
              <w:t>+3.8%</w:t>
            </w:r>
          </w:p>
        </w:tc>
        <w:tc>
          <w:tcPr>
            <w:tcW w:type="dxa" w:w="1234"/>
          </w:tcPr>
          <w:p>
            <w:r>
              <w:rPr>
                <w:rFonts w:ascii="Calibri" w:hAnsi="Calibri"/>
                <w:sz w:val="22"/>
              </w:rPr>
              <w:t>FY $5.56–$5.72 (no Q2-specific guidance)</w:t>
            </w:r>
          </w:p>
        </w:tc>
        <w:tc>
          <w:tcPr>
            <w:tcW w:type="dxa" w:w="1234"/>
          </w:tcPr>
          <w:p>
            <w:r>
              <w:rPr>
                <w:rFonts w:ascii="Calibri" w:hAnsi="Calibri"/>
                <w:sz w:val="22"/>
              </w:rPr>
              <w:t>N/A (no Q2 guidance)</w:t>
            </w:r>
          </w:p>
        </w:tc>
      </w:tr>
      <w:tr>
        <w:tc>
          <w:tcPr>
            <w:tcW w:type="dxa" w:w="1234"/>
          </w:tcPr>
          <w:p>
            <w:r>
              <w:rPr>
                <w:rFonts w:ascii="Calibri" w:hAnsi="Calibri"/>
                <w:sz w:val="22"/>
              </w:rPr>
              <w:t>Net Revenue — Smokeable ($B)</w:t>
            </w:r>
          </w:p>
        </w:tc>
        <w:tc>
          <w:tcPr>
            <w:tcW w:type="dxa" w:w="1234"/>
          </w:tcPr>
          <w:p>
            <w:r>
              <w:rPr>
                <w:rFonts w:ascii="Calibri" w:hAnsi="Calibri"/>
                <w:sz w:val="22"/>
              </w:rPr>
              <w:t>$4.11B</w:t>
            </w:r>
          </w:p>
        </w:tc>
        <w:tc>
          <w:tcPr>
            <w:tcW w:type="dxa" w:w="1234"/>
          </w:tcPr>
          <w:p>
            <w:r>
              <w:rPr>
                <w:rFonts w:ascii="Calibri" w:hAnsi="Calibri"/>
                <w:sz w:val="22"/>
              </w:rPr>
              <w:t>$4.57B</w:t>
            </w:r>
          </w:p>
        </w:tc>
        <w:tc>
          <w:tcPr>
            <w:tcW w:type="dxa" w:w="1234"/>
          </w:tcPr>
          <w:p>
            <w:r>
              <w:rPr>
                <w:rFonts w:ascii="Calibri" w:hAnsi="Calibri"/>
                <w:sz w:val="22"/>
              </w:rPr>
              <w:t>$4.624B</w:t>
            </w:r>
          </w:p>
        </w:tc>
        <w:tc>
          <w:tcPr>
            <w:tcW w:type="dxa" w:w="1234"/>
          </w:tcPr>
          <w:p>
            <w:r>
              <w:rPr>
                <w:rFonts w:ascii="Calibri" w:hAnsi="Calibri"/>
                <w:sz w:val="22"/>
              </w:rPr>
              <w:t>+1.2%</w:t>
            </w:r>
          </w:p>
        </w:tc>
        <w:tc>
          <w:tcPr>
            <w:tcW w:type="dxa" w:w="1234"/>
          </w:tcPr>
          <w:p>
            <w:r>
              <w:rPr>
                <w:rFonts w:ascii="Calibri" w:hAnsi="Calibri"/>
                <w:sz w:val="22"/>
              </w:rPr>
              <w:t>No segment guidance</w:t>
            </w:r>
          </w:p>
        </w:tc>
        <w:tc>
          <w:tcPr>
            <w:tcW w:type="dxa" w:w="1234"/>
          </w:tcPr>
          <w:p>
            <w:r>
              <w:rPr>
                <w:rFonts w:ascii="Calibri" w:hAnsi="Calibri"/>
                <w:sz w:val="22"/>
              </w:rPr>
              <w:t>N/A</w:t>
            </w:r>
          </w:p>
        </w:tc>
      </w:tr>
      <w:tr>
        <w:tc>
          <w:tcPr>
            <w:tcW w:type="dxa" w:w="1234"/>
          </w:tcPr>
          <w:p>
            <w:r>
              <w:rPr>
                <w:rFonts w:ascii="Calibri" w:hAnsi="Calibri"/>
                <w:sz w:val="22"/>
              </w:rPr>
              <w:t>Net Revenue — OTP ($M)</w:t>
            </w:r>
          </w:p>
        </w:tc>
        <w:tc>
          <w:tcPr>
            <w:tcW w:type="dxa" w:w="1234"/>
          </w:tcPr>
          <w:p>
            <w:r>
              <w:rPr>
                <w:rFonts w:ascii="Calibri" w:hAnsi="Calibri"/>
                <w:sz w:val="22"/>
              </w:rPr>
              <w:t>$647M</w:t>
            </w:r>
          </w:p>
        </w:tc>
        <w:tc>
          <w:tcPr>
            <w:tcW w:type="dxa" w:w="1234"/>
          </w:tcPr>
          <w:p>
            <w:r>
              <w:rPr>
                <w:rFonts w:ascii="Calibri" w:hAnsi="Calibri"/>
                <w:sz w:val="22"/>
              </w:rPr>
              <w:t>$728M</w:t>
            </w:r>
          </w:p>
        </w:tc>
        <w:tc>
          <w:tcPr>
            <w:tcW w:type="dxa" w:w="1234"/>
          </w:tcPr>
          <w:p>
            <w:r>
              <w:rPr>
                <w:rFonts w:ascii="Calibri" w:hAnsi="Calibri"/>
                <w:sz w:val="22"/>
              </w:rPr>
              <w:t>$722M</w:t>
            </w:r>
          </w:p>
        </w:tc>
        <w:tc>
          <w:tcPr>
            <w:tcW w:type="dxa" w:w="1234"/>
          </w:tcPr>
          <w:p>
            <w:r>
              <w:rPr>
                <w:rFonts w:ascii="Calibri" w:hAnsi="Calibri"/>
                <w:sz w:val="22"/>
              </w:rPr>
              <w:t>−0.8%</w:t>
            </w:r>
          </w:p>
        </w:tc>
        <w:tc>
          <w:tcPr>
            <w:tcW w:type="dxa" w:w="1234"/>
          </w:tcPr>
          <w:p>
            <w:r>
              <w:rPr>
                <w:rFonts w:ascii="Calibri" w:hAnsi="Calibri"/>
                <w:sz w:val="22"/>
              </w:rPr>
              <w:t>No segment guidance</w:t>
            </w:r>
          </w:p>
        </w:tc>
        <w:tc>
          <w:tcPr>
            <w:tcW w:type="dxa" w:w="1234"/>
          </w:tcPr>
          <w:p>
            <w:r>
              <w:rPr>
                <w:rFonts w:ascii="Calibri" w:hAnsi="Calibri"/>
                <w:sz w:val="22"/>
              </w:rPr>
              <w:t>N/A</w:t>
            </w:r>
          </w:p>
        </w:tc>
      </w:tr>
      <w:tr>
        <w:tc>
          <w:tcPr>
            <w:tcW w:type="dxa" w:w="1234"/>
          </w:tcPr>
          <w:p>
            <w:r>
              <w:rPr>
                <w:rFonts w:ascii="Calibri" w:hAnsi="Calibri"/>
                <w:sz w:val="22"/>
              </w:rPr>
              <w:t>Smokeable OCI — Operating ($B)</w:t>
            </w:r>
          </w:p>
        </w:tc>
        <w:tc>
          <w:tcPr>
            <w:tcW w:type="dxa" w:w="1234"/>
          </w:tcPr>
          <w:p>
            <w:r>
              <w:rPr>
                <w:rFonts w:ascii="Calibri" w:hAnsi="Calibri"/>
                <w:sz w:val="22"/>
              </w:rPr>
              <w:t>$2.676B</w:t>
            </w:r>
          </w:p>
        </w:tc>
        <w:tc>
          <w:tcPr>
            <w:tcW w:type="dxa" w:w="1234"/>
          </w:tcPr>
          <w:p>
            <w:r>
              <w:rPr>
                <w:rFonts w:ascii="Calibri" w:hAnsi="Calibri"/>
                <w:sz w:val="22"/>
              </w:rPr>
              <w:t>$2.947B</w:t>
            </w:r>
          </w:p>
        </w:tc>
        <w:tc>
          <w:tcPr>
            <w:tcW w:type="dxa" w:w="1234"/>
          </w:tcPr>
          <w:p>
            <w:r>
              <w:rPr>
                <w:rFonts w:ascii="Calibri" w:hAnsi="Calibri"/>
                <w:sz w:val="22"/>
              </w:rPr>
              <w:t>$3.001B</w:t>
            </w:r>
          </w:p>
        </w:tc>
        <w:tc>
          <w:tcPr>
            <w:tcW w:type="dxa" w:w="1234"/>
          </w:tcPr>
          <w:p>
            <w:r>
              <w:rPr>
                <w:rFonts w:ascii="Calibri" w:hAnsi="Calibri"/>
                <w:sz w:val="22"/>
              </w:rPr>
              <w:t>+1.8%</w:t>
            </w:r>
          </w:p>
        </w:tc>
        <w:tc>
          <w:tcPr>
            <w:tcW w:type="dxa" w:w="1234"/>
          </w:tcPr>
          <w:p>
            <w:r>
              <w:rPr>
                <w:rFonts w:ascii="Calibri" w:hAnsi="Calibri"/>
                <w:sz w:val="22"/>
              </w:rPr>
              <w:t>No segment guidance</w:t>
            </w:r>
          </w:p>
        </w:tc>
        <w:tc>
          <w:tcPr>
            <w:tcW w:type="dxa" w:w="1234"/>
          </w:tcPr>
          <w:p>
            <w:r>
              <w:rPr>
                <w:rFonts w:ascii="Calibri" w:hAnsi="Calibri"/>
                <w:sz w:val="22"/>
              </w:rPr>
              <w:t>N/A</w:t>
            </w:r>
          </w:p>
        </w:tc>
      </w:tr>
      <w:tr>
        <w:tc>
          <w:tcPr>
            <w:tcW w:type="dxa" w:w="1234"/>
          </w:tcPr>
          <w:p>
            <w:r>
              <w:rPr>
                <w:rFonts w:ascii="Calibri" w:hAnsi="Calibri"/>
                <w:sz w:val="22"/>
              </w:rPr>
              <w:t>Marlboro Retail Share (%)</w:t>
            </w:r>
          </w:p>
        </w:tc>
        <w:tc>
          <w:tcPr>
            <w:tcW w:type="dxa" w:w="1234"/>
          </w:tcPr>
          <w:p>
            <w:r>
              <w:rPr>
                <w:rFonts w:ascii="Calibri" w:hAnsi="Calibri"/>
                <w:sz w:val="22"/>
              </w:rPr>
              <w:t>39.7%</w:t>
            </w:r>
          </w:p>
        </w:tc>
        <w:tc>
          <w:tcPr>
            <w:tcW w:type="dxa" w:w="1234"/>
          </w:tcPr>
          <w:p>
            <w:r>
              <w:rPr>
                <w:rFonts w:ascii="Calibri" w:hAnsi="Calibri"/>
                <w:sz w:val="22"/>
              </w:rPr>
              <w:t>41.0%</w:t>
            </w:r>
          </w:p>
        </w:tc>
        <w:tc>
          <w:tcPr>
            <w:tcW w:type="dxa" w:w="1234"/>
          </w:tcPr>
          <w:p>
            <w:r>
              <w:rPr>
                <w:rFonts w:ascii="Calibri" w:hAnsi="Calibri"/>
                <w:sz w:val="22"/>
              </w:rPr>
              <w:t>39.1%</w:t>
            </w:r>
          </w:p>
        </w:tc>
        <w:tc>
          <w:tcPr>
            <w:tcW w:type="dxa" w:w="1234"/>
          </w:tcPr>
          <w:p>
            <w:r>
              <w:rPr>
                <w:rFonts w:ascii="Calibri" w:hAnsi="Calibri"/>
                <w:sz w:val="22"/>
              </w:rPr>
              <w:t>−1.9 pts</w:t>
            </w:r>
          </w:p>
        </w:tc>
        <w:tc>
          <w:tcPr>
            <w:tcW w:type="dxa" w:w="1234"/>
          </w:tcPr>
          <w:p>
            <w:r>
              <w:rPr>
                <w:rFonts w:ascii="Calibri" w:hAnsi="Calibri"/>
                <w:sz w:val="22"/>
              </w:rPr>
              <w:t>No specific target</w:t>
            </w:r>
          </w:p>
        </w:tc>
        <w:tc>
          <w:tcPr>
            <w:tcW w:type="dxa" w:w="1234"/>
          </w:tcPr>
          <w:p>
            <w:r>
              <w:rPr>
                <w:rFonts w:ascii="Calibri" w:hAnsi="Calibri"/>
                <w:sz w:val="22"/>
              </w:rPr>
              <w:t>N/A</w:t>
            </w:r>
          </w:p>
        </w:tc>
      </w:tr>
      <w:tr>
        <w:tc>
          <w:tcPr>
            <w:tcW w:type="dxa" w:w="1234"/>
          </w:tcPr>
          <w:p>
            <w:r>
              <w:rPr>
                <w:rFonts w:ascii="Calibri" w:hAnsi="Calibri"/>
                <w:sz w:val="22"/>
              </w:rPr>
              <w:t>on! Volume (M cans)</w:t>
            </w:r>
          </w:p>
        </w:tc>
        <w:tc>
          <w:tcPr>
            <w:tcW w:type="dxa" w:w="1234"/>
          </w:tcPr>
          <w:p>
            <w:r>
              <w:rPr>
                <w:rFonts w:ascii="Calibri" w:hAnsi="Calibri"/>
                <w:sz w:val="22"/>
              </w:rPr>
              <w:t>46.2M</w:t>
            </w:r>
          </w:p>
        </w:tc>
        <w:tc>
          <w:tcPr>
            <w:tcW w:type="dxa" w:w="1234"/>
          </w:tcPr>
          <w:p>
            <w:r>
              <w:rPr>
                <w:rFonts w:ascii="Calibri" w:hAnsi="Calibri"/>
                <w:sz w:val="22"/>
              </w:rPr>
              <w:t>52.1M</w:t>
            </w:r>
          </w:p>
        </w:tc>
        <w:tc>
          <w:tcPr>
            <w:tcW w:type="dxa" w:w="1234"/>
          </w:tcPr>
          <w:p>
            <w:r>
              <w:rPr>
                <w:rFonts w:ascii="Calibri" w:hAnsi="Calibri"/>
                <w:sz w:val="22"/>
              </w:rPr>
              <w:t>53.5M</w:t>
            </w:r>
          </w:p>
        </w:tc>
        <w:tc>
          <w:tcPr>
            <w:tcW w:type="dxa" w:w="1234"/>
          </w:tcPr>
          <w:p>
            <w:r>
              <w:rPr>
                <w:rFonts w:ascii="Calibri" w:hAnsi="Calibri"/>
                <w:sz w:val="22"/>
              </w:rPr>
              <w:t>+2.7%</w:t>
            </w:r>
          </w:p>
        </w:tc>
        <w:tc>
          <w:tcPr>
            <w:tcW w:type="dxa" w:w="1234"/>
          </w:tcPr>
          <w:p>
            <w:r>
              <w:rPr>
                <w:rFonts w:ascii="Calibri" w:hAnsi="Calibri"/>
                <w:sz w:val="22"/>
              </w:rPr>
              <w:t>No specific target</w:t>
            </w:r>
          </w:p>
        </w:tc>
        <w:tc>
          <w:tcPr>
            <w:tcW w:type="dxa" w:w="1234"/>
          </w:tcPr>
          <w:p>
            <w:r>
              <w:rPr>
                <w:rFonts w:ascii="Calibri" w:hAnsi="Calibri"/>
                <w:sz w:val="22"/>
              </w:rPr>
              <w:t>N/A</w:t>
            </w:r>
          </w:p>
        </w:tc>
      </w:tr>
      <w:tr>
        <w:tc>
          <w:tcPr>
            <w:tcW w:type="dxa" w:w="1234"/>
          </w:tcPr>
          <w:p>
            <w:r>
              <w:rPr>
                <w:rFonts w:ascii="Calibri" w:hAnsi="Calibri"/>
                <w:sz w:val="22"/>
              </w:rPr>
              <w:t>Cigarette Sticks (B)</w:t>
            </w:r>
          </w:p>
        </w:tc>
        <w:tc>
          <w:tcPr>
            <w:tcW w:type="dxa" w:w="1234"/>
          </w:tcPr>
          <w:p>
            <w:r>
              <w:rPr>
                <w:rFonts w:ascii="Calibri" w:hAnsi="Calibri"/>
                <w:sz w:val="22"/>
              </w:rPr>
              <w:t>13.87B</w:t>
            </w:r>
          </w:p>
        </w:tc>
        <w:tc>
          <w:tcPr>
            <w:tcW w:type="dxa" w:w="1234"/>
          </w:tcPr>
          <w:p>
            <w:r>
              <w:rPr>
                <w:rFonts w:ascii="Calibri" w:hAnsi="Calibri"/>
                <w:sz w:val="22"/>
              </w:rPr>
              <w:t>16.07B</w:t>
            </w:r>
          </w:p>
        </w:tc>
        <w:tc>
          <w:tcPr>
            <w:tcW w:type="dxa" w:w="1234"/>
          </w:tcPr>
          <w:p>
            <w:r>
              <w:rPr>
                <w:rFonts w:ascii="Calibri" w:hAnsi="Calibri"/>
                <w:sz w:val="22"/>
              </w:rPr>
              <w:t>15.15B</w:t>
            </w:r>
          </w:p>
        </w:tc>
        <w:tc>
          <w:tcPr>
            <w:tcW w:type="dxa" w:w="1234"/>
          </w:tcPr>
          <w:p>
            <w:r>
              <w:rPr>
                <w:rFonts w:ascii="Calibri" w:hAnsi="Calibri"/>
                <w:sz w:val="22"/>
              </w:rPr>
              <w:t>−5.7%</w:t>
            </w:r>
          </w:p>
        </w:tc>
        <w:tc>
          <w:tcPr>
            <w:tcW w:type="dxa" w:w="1234"/>
          </w:tcPr>
          <w:p>
            <w:r>
              <w:rPr>
                <w:rFonts w:ascii="Calibri" w:hAnsi="Calibri"/>
                <w:sz w:val="22"/>
              </w:rPr>
              <w:t>No specific target</w:t>
            </w:r>
          </w:p>
        </w:tc>
        <w:tc>
          <w:tcPr>
            <w:tcW w:type="dxa" w:w="1234"/>
          </w:tcPr>
          <w:p>
            <w:r>
              <w:rPr>
                <w:rFonts w:ascii="Calibri" w:hAnsi="Calibri"/>
                <w:sz w:val="22"/>
              </w:rPr>
              <w:t>N/A</w:t>
            </w:r>
          </w:p>
        </w:tc>
      </w:tr>
      <w:tr>
        <w:tc>
          <w:tcPr>
            <w:tcW w:type="dxa" w:w="1234"/>
          </w:tcPr>
          <w:p>
            <w:r>
              <w:rPr>
                <w:rFonts w:ascii="Calibri" w:hAnsi="Calibri"/>
                <w:sz w:val="22"/>
              </w:rPr>
              <w:t>Total Net Revenue ($B)</w:t>
            </w:r>
          </w:p>
        </w:tc>
        <w:tc>
          <w:tcPr>
            <w:tcW w:type="dxa" w:w="1234"/>
          </w:tcPr>
          <w:p>
            <w:r>
              <w:rPr>
                <w:rFonts w:ascii="Calibri" w:hAnsi="Calibri"/>
                <w:sz w:val="22"/>
              </w:rPr>
              <w:t>$4.758B</w:t>
            </w:r>
          </w:p>
        </w:tc>
        <w:tc>
          <w:tcPr>
            <w:tcW w:type="dxa" w:w="1234"/>
          </w:tcPr>
          <w:p>
            <w:r>
              <w:rPr>
                <w:rFonts w:ascii="Calibri" w:hAnsi="Calibri"/>
                <w:sz w:val="22"/>
              </w:rPr>
              <w:t>$5.290B</w:t>
            </w:r>
          </w:p>
        </w:tc>
        <w:tc>
          <w:tcPr>
            <w:tcW w:type="dxa" w:w="1234"/>
          </w:tcPr>
          <w:p>
            <w:r>
              <w:rPr>
                <w:rFonts w:ascii="Calibri" w:hAnsi="Calibri"/>
                <w:sz w:val="22"/>
              </w:rPr>
              <w:t>$5.350B</w:t>
            </w:r>
          </w:p>
        </w:tc>
        <w:tc>
          <w:tcPr>
            <w:tcW w:type="dxa" w:w="1234"/>
          </w:tcPr>
          <w:p>
            <w:r>
              <w:rPr>
                <w:rFonts w:ascii="Calibri" w:hAnsi="Calibri"/>
                <w:sz w:val="22"/>
              </w:rPr>
              <w:t>+1.1%</w:t>
            </w:r>
          </w:p>
        </w:tc>
        <w:tc>
          <w:tcPr>
            <w:tcW w:type="dxa" w:w="1234"/>
          </w:tcPr>
          <w:p>
            <w:r>
              <w:rPr>
                <w:rFonts w:ascii="Calibri" w:hAnsi="Calibri"/>
                <w:sz w:val="22"/>
              </w:rPr>
              <w:t>No specific target</w:t>
            </w:r>
          </w:p>
        </w:tc>
        <w:tc>
          <w:tcPr>
            <w:tcW w:type="dxa" w:w="1234"/>
          </w:tcPr>
          <w:p>
            <w:r>
              <w:rPr>
                <w:rFonts w:ascii="Calibri" w:hAnsi="Calibri"/>
                <w:sz w:val="22"/>
              </w:rPr>
              <w:t>N/A</w:t>
            </w:r>
          </w:p>
        </w:tc>
      </w:tr>
    </w:tbl>
    <w:p>
      <w:r>
        <w:rPr>
          <w:rFonts w:ascii="Calibri" w:hAnsi="Calibri"/>
          <w:i/>
          <w:color w:val="525866"/>
          <w:sz w:val="22"/>
        </w:rPr>
        <w:t>Sources: Visible Alpha Consensus and Actuals Data. Q1 2026 actuals from MO Q1 2026 Earnings Release (April 30, 2026). Q2 2026 consensus as of July 29, 2026. Note: Q1 2026 is seasonally the weakest quarter; Q2 is typically stronger due to seasonal volume patterns.</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1.32</w:t>
            </w:r>
          </w:p>
        </w:tc>
        <w:tc>
          <w:tcPr>
            <w:tcW w:type="dxa" w:w="1728"/>
          </w:tcPr>
          <w:p>
            <w:r>
              <w:rPr>
                <w:rFonts w:ascii="Calibri" w:hAnsi="Calibri"/>
                <w:sz w:val="22"/>
              </w:rPr>
              <w:t>1.249</w:t>
            </w:r>
          </w:p>
        </w:tc>
        <w:tc>
          <w:tcPr>
            <w:tcW w:type="dxa" w:w="1728"/>
          </w:tcPr>
          <w:p>
            <w:r>
              <w:rPr>
                <w:rFonts w:ascii="Calibri" w:hAnsi="Calibri"/>
                <w:b/>
                <w:color w:val="30A46C"/>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1.30</w:t>
            </w:r>
          </w:p>
        </w:tc>
        <w:tc>
          <w:tcPr>
            <w:tcW w:type="dxa" w:w="1728"/>
          </w:tcPr>
          <w:p>
            <w:r>
              <w:rPr>
                <w:rFonts w:ascii="Calibri" w:hAnsi="Calibri"/>
                <w:sz w:val="22"/>
              </w:rPr>
              <w:t>1.312</w:t>
            </w:r>
          </w:p>
        </w:tc>
        <w:tc>
          <w:tcPr>
            <w:tcW w:type="dxa" w:w="1728"/>
          </w:tcPr>
          <w:p>
            <w:r>
              <w:rPr>
                <w:rFonts w:ascii="Calibri" w:hAnsi="Calibri"/>
                <w:b/>
                <w:color w:val="E5484D"/>
                <w:sz w:val="22"/>
              </w:rPr>
              <w:t>−0.9%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1.45</w:t>
            </w:r>
          </w:p>
        </w:tc>
        <w:tc>
          <w:tcPr>
            <w:tcW w:type="dxa" w:w="1728"/>
          </w:tcPr>
          <w:p>
            <w:r>
              <w:rPr>
                <w:rFonts w:ascii="Calibri" w:hAnsi="Calibri"/>
                <w:sz w:val="22"/>
              </w:rPr>
              <w:t>1.447</w:t>
            </w:r>
          </w:p>
        </w:tc>
        <w:tc>
          <w:tcPr>
            <w:tcW w:type="dxa" w:w="1728"/>
          </w:tcPr>
          <w:p>
            <w:r>
              <w:rPr>
                <w:rFonts w:ascii="Calibri" w:hAnsi="Calibri"/>
                <w:sz w:val="22"/>
              </w:rPr>
              <w:t>+0.2%</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1.44</w:t>
            </w:r>
          </w:p>
        </w:tc>
        <w:tc>
          <w:tcPr>
            <w:tcW w:type="dxa" w:w="1728"/>
          </w:tcPr>
          <w:p>
            <w:r>
              <w:rPr>
                <w:rFonts w:ascii="Calibri" w:hAnsi="Calibri"/>
                <w:sz w:val="22"/>
              </w:rPr>
              <w:t>1.385</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1.23</w:t>
            </w:r>
          </w:p>
        </w:tc>
        <w:tc>
          <w:tcPr>
            <w:tcW w:type="dxa" w:w="1728"/>
          </w:tcPr>
          <w:p>
            <w:r>
              <w:rPr>
                <w:rFonts w:ascii="Calibri" w:hAnsi="Calibri"/>
                <w:sz w:val="22"/>
              </w:rPr>
              <w:t>1.193</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1.30</w:t>
            </w:r>
          </w:p>
        </w:tc>
        <w:tc>
          <w:tcPr>
            <w:tcW w:type="dxa" w:w="1728"/>
          </w:tcPr>
          <w:p>
            <w:r>
              <w:rPr>
                <w:rFonts w:ascii="Calibri" w:hAnsi="Calibri"/>
                <w:sz w:val="22"/>
              </w:rPr>
              <w:t>1.278</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1.40</w:t>
            </w:r>
          </w:p>
        </w:tc>
        <w:tc>
          <w:tcPr>
            <w:tcW w:type="dxa" w:w="1728"/>
          </w:tcPr>
          <w:p>
            <w:r>
              <w:rPr>
                <w:rFonts w:ascii="Calibri" w:hAnsi="Calibri"/>
                <w:sz w:val="22"/>
              </w:rPr>
              <w:t>1.358</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1.33</w:t>
            </w:r>
          </w:p>
        </w:tc>
        <w:tc>
          <w:tcPr>
            <w:tcW w:type="dxa" w:w="1728"/>
          </w:tcPr>
          <w:p>
            <w:r>
              <w:rPr>
                <w:rFonts w:ascii="Calibri" w:hAnsi="Calibri"/>
                <w:sz w:val="22"/>
              </w:rPr>
              <w:t>1.342</w:t>
            </w:r>
          </w:p>
        </w:tc>
        <w:tc>
          <w:tcPr>
            <w:tcW w:type="dxa" w:w="1728"/>
          </w:tcPr>
          <w:p>
            <w:r>
              <w:rPr>
                <w:rFonts w:ascii="Calibri" w:hAnsi="Calibri"/>
                <w:b/>
                <w:color w:val="E5484D"/>
                <w:sz w:val="22"/>
              </w:rPr>
              <w:t>−0.9%</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MO has beaten EPS consensus in 6 of the last 8 quarters, with the two misses being narrow (−0.9% each); the beat rate and magnitude have been improving, with Q1 2026 the largest beat in the trailing 8-quarter window.</w:t>
      </w:r>
    </w:p>
    <w:p>
      <w:r>
        <w:rPr>
          <w:rFonts w:ascii="Calibri" w:hAnsi="Calibri"/>
          <w:b/>
          <w:color w:val="525866"/>
          <w:sz w:val="22"/>
        </w:rPr>
        <w:t>KPI 2: Net Revenue — Smokeable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4.110</w:t>
            </w:r>
          </w:p>
        </w:tc>
        <w:tc>
          <w:tcPr>
            <w:tcW w:type="dxa" w:w="1728"/>
          </w:tcPr>
          <w:p>
            <w:r>
              <w:rPr>
                <w:rFonts w:ascii="Calibri" w:hAnsi="Calibri"/>
                <w:sz w:val="22"/>
              </w:rPr>
              <w:t>3.928</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4.376</w:t>
            </w:r>
          </w:p>
        </w:tc>
        <w:tc>
          <w:tcPr>
            <w:tcW w:type="dxa" w:w="1728"/>
          </w:tcPr>
          <w:p>
            <w:r>
              <w:rPr>
                <w:rFonts w:ascii="Calibri" w:hAnsi="Calibri"/>
                <w:sz w:val="22"/>
              </w:rPr>
              <w:t>4.339</w:t>
            </w:r>
          </w:p>
        </w:tc>
        <w:tc>
          <w:tcPr>
            <w:tcW w:type="dxa" w:w="1728"/>
          </w:tcPr>
          <w:p>
            <w:r>
              <w:rPr>
                <w:rFonts w:ascii="Calibri" w:hAnsi="Calibri"/>
                <w:b/>
                <w:color w:val="30A46C"/>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4.590</w:t>
            </w:r>
          </w:p>
        </w:tc>
        <w:tc>
          <w:tcPr>
            <w:tcW w:type="dxa" w:w="1728"/>
          </w:tcPr>
          <w:p>
            <w:r>
              <w:rPr>
                <w:rFonts w:ascii="Calibri" w:hAnsi="Calibri"/>
                <w:sz w:val="22"/>
              </w:rPr>
              <w:t>4.599</w:t>
            </w:r>
          </w:p>
        </w:tc>
        <w:tc>
          <w:tcPr>
            <w:tcW w:type="dxa" w:w="1728"/>
          </w:tcPr>
          <w:p>
            <w:r>
              <w:rPr>
                <w:rFonts w:ascii="Calibri" w:hAnsi="Calibri"/>
                <w:sz w:val="22"/>
              </w:rPr>
              <w:t>−0.2%</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4.570</w:t>
            </w:r>
          </w:p>
        </w:tc>
        <w:tc>
          <w:tcPr>
            <w:tcW w:type="dxa" w:w="1728"/>
          </w:tcPr>
          <w:p>
            <w:r>
              <w:rPr>
                <w:rFonts w:ascii="Calibri" w:hAnsi="Calibri"/>
                <w:sz w:val="22"/>
              </w:rPr>
              <w:t>4.482</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3.907</w:t>
            </w:r>
          </w:p>
        </w:tc>
        <w:tc>
          <w:tcPr>
            <w:tcW w:type="dxa" w:w="1728"/>
          </w:tcPr>
          <w:p>
            <w:r>
              <w:rPr>
                <w:rFonts w:ascii="Calibri" w:hAnsi="Calibri"/>
                <w:sz w:val="22"/>
              </w:rPr>
              <w:t>3.962</w:t>
            </w:r>
          </w:p>
        </w:tc>
        <w:tc>
          <w:tcPr>
            <w:tcW w:type="dxa" w:w="1728"/>
          </w:tcPr>
          <w:p>
            <w:r>
              <w:rPr>
                <w:rFonts w:ascii="Calibri" w:hAnsi="Calibri"/>
                <w:b/>
                <w:color w:val="E5484D"/>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4.424</w:t>
            </w:r>
          </w:p>
        </w:tc>
        <w:tc>
          <w:tcPr>
            <w:tcW w:type="dxa" w:w="1728"/>
          </w:tcPr>
          <w:p>
            <w:r>
              <w:rPr>
                <w:rFonts w:ascii="Calibri" w:hAnsi="Calibri"/>
                <w:sz w:val="22"/>
              </w:rPr>
              <w:t>4.381</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4.652</w:t>
            </w:r>
          </w:p>
        </w:tc>
        <w:tc>
          <w:tcPr>
            <w:tcW w:type="dxa" w:w="1728"/>
          </w:tcPr>
          <w:p>
            <w:r>
              <w:rPr>
                <w:rFonts w:ascii="Calibri" w:hAnsi="Calibri"/>
                <w:sz w:val="22"/>
              </w:rPr>
              <w:t>4.614</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4.587</w:t>
            </w:r>
          </w:p>
        </w:tc>
        <w:tc>
          <w:tcPr>
            <w:tcW w:type="dxa" w:w="1728"/>
          </w:tcPr>
          <w:p>
            <w:r>
              <w:rPr>
                <w:rFonts w:ascii="Calibri" w:hAnsi="Calibri"/>
                <w:sz w:val="22"/>
              </w:rPr>
              <w:t>4.678</w:t>
            </w:r>
          </w:p>
        </w:tc>
        <w:tc>
          <w:tcPr>
            <w:tcW w:type="dxa" w:w="1728"/>
          </w:tcPr>
          <w:p>
            <w:r>
              <w:rPr>
                <w:rFonts w:ascii="Calibri" w:hAnsi="Calibri"/>
                <w:b/>
                <w:color w:val="E5484D"/>
                <w:sz w:val="22"/>
              </w:rPr>
              <w:t>−1.9%</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Smokeable revenue has beaten consensus in 5 of the last 8 quarters; the two most recent beats (Q1 2026 and Q4 2025) were driven by stronger-than-expected pricing power and moderating volume declines, suggesting the trend is improving.</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 management reaffirmed the $5.56–$5.72 FY2026 EPS range and made no post-earnings revisions. The notable shift was in </w:t>
      </w:r>
      <w:r>
        <w:rPr>
          <w:rFonts w:ascii="Calibri" w:hAnsi="Calibri"/>
          <w:b/>
          <w:color w:val="525866"/>
          <w:sz w:val="22"/>
        </w:rPr>
        <w:t>earnings phasing</w:t>
      </w:r>
      <w:r>
        <w:rPr>
          <w:rFonts w:ascii="Calibri" w:hAnsi="Calibri"/>
          <w:color w:val="525866"/>
          <w:sz w:val="22"/>
        </w:rPr>
        <w:t>: management moved from H2-weighted to a more balanced H1/H2 split, which is a subtle positive signal that Q1 outperformance was real and not borrowed from future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Diluted EPS</w:t>
            </w:r>
          </w:p>
        </w:tc>
        <w:tc>
          <w:tcPr>
            <w:tcW w:type="dxa" w:w="1728"/>
          </w:tcPr>
          <w:p>
            <w:r>
              <w:rPr>
                <w:rFonts w:ascii="Calibri" w:hAnsi="Calibri"/>
                <w:sz w:val="22"/>
              </w:rPr>
              <w:t>$5.56–$5.72 (midpoint $5.64); +2.5% to +5.5% growth from $5.42 base</w:t>
            </w:r>
          </w:p>
        </w:tc>
        <w:tc>
          <w:tcPr>
            <w:tcW w:type="dxa" w:w="1728"/>
          </w:tcPr>
          <w:p>
            <w:r>
              <w:rPr>
                <w:rFonts w:ascii="Calibri" w:hAnsi="Calibri"/>
                <w:sz w:val="22"/>
              </w:rPr>
              <w:t>— (unchanged)</w:t>
            </w:r>
          </w:p>
        </w:tc>
        <w:tc>
          <w:tcPr>
            <w:tcW w:type="dxa" w:w="1728"/>
          </w:tcPr>
          <w:p>
            <w:r>
              <w:rPr>
                <w:rFonts w:ascii="Calibri" w:hAnsi="Calibri"/>
                <w:sz w:val="22"/>
              </w:rPr>
              <w:t>$5.715</w:t>
            </w:r>
          </w:p>
        </w:tc>
        <w:tc>
          <w:tcPr>
            <w:tcW w:type="dxa" w:w="1728"/>
          </w:tcPr>
          <w:p>
            <w:r>
              <w:rPr>
                <w:rFonts w:ascii="Calibri" w:hAnsi="Calibri"/>
                <w:sz w:val="22"/>
              </w:rPr>
              <w:t>Reaffirmed at Q1 earnings; no post-earnings update. Consensus sits near top of range, implying Street expects execution toward the high end.</w:t>
            </w:r>
          </w:p>
        </w:tc>
      </w:tr>
      <w:tr>
        <w:tc>
          <w:tcPr>
            <w:tcW w:type="dxa" w:w="1728"/>
          </w:tcPr>
          <w:p>
            <w:r>
              <w:rPr>
                <w:rFonts w:ascii="Calibri" w:hAnsi="Calibri"/>
                <w:sz w:val="22"/>
              </w:rPr>
              <w:t>EPS Phasing (H1 vs. H2)</w:t>
            </w:r>
          </w:p>
        </w:tc>
        <w:tc>
          <w:tcPr>
            <w:tcW w:type="dxa" w:w="1728"/>
          </w:tcPr>
          <w:p>
            <w:r>
              <w:rPr>
                <w:rFonts w:ascii="Calibri" w:hAnsi="Calibri"/>
                <w:sz w:val="22"/>
              </w:rPr>
              <w:t>Originally H2-weighted; updated to more balanced H1/H2 split on Q1 call</w:t>
            </w:r>
          </w:p>
        </w:tc>
        <w:tc>
          <w:tcPr>
            <w:tcW w:type="dxa" w:w="1728"/>
          </w:tcPr>
          <w:p>
            <w:r>
              <w:rPr>
                <w:rFonts w:ascii="Calibri" w:hAnsi="Calibri"/>
                <w:sz w:val="22"/>
              </w:rPr>
              <w:t>— (unchanged)</w:t>
            </w:r>
          </w:p>
        </w:tc>
        <w:tc>
          <w:tcPr>
            <w:tcW w:type="dxa" w:w="1728"/>
          </w:tcPr>
          <w:p>
            <w:r>
              <w:rPr>
                <w:rFonts w:ascii="Calibri" w:hAnsi="Calibri"/>
                <w:sz w:val="22"/>
              </w:rPr>
              <w:t>Q2 est. $1.495 implies H1 ~$2.82, H2 ~$2.90</w:t>
            </w:r>
          </w:p>
        </w:tc>
        <w:tc>
          <w:tcPr>
            <w:tcW w:type="dxa" w:w="1728"/>
          </w:tcPr>
          <w:p>
            <w:r>
              <w:rPr>
                <w:rFonts w:ascii="Calibri" w:hAnsi="Calibri"/>
                <w:sz w:val="22"/>
              </w:rPr>
              <w:t>Phasing shift driven by stronger Q1 smokeable volume; positive signal for H1 delivery.</w:t>
            </w:r>
          </w:p>
        </w:tc>
      </w:tr>
      <w:tr>
        <w:tc>
          <w:tcPr>
            <w:tcW w:type="dxa" w:w="1728"/>
          </w:tcPr>
          <w:p>
            <w:r>
              <w:rPr>
                <w:rFonts w:ascii="Calibri" w:hAnsi="Calibri"/>
                <w:sz w:val="22"/>
              </w:rPr>
              <w:t>Cigarette Volume Decline Rate</w:t>
            </w:r>
          </w:p>
        </w:tc>
        <w:tc>
          <w:tcPr>
            <w:tcW w:type="dxa" w:w="1728"/>
          </w:tcPr>
          <w:p>
            <w:r>
              <w:rPr>
                <w:rFonts w:ascii="Calibri" w:hAnsi="Calibri"/>
                <w:sz w:val="22"/>
              </w:rPr>
              <w:t>Industry -5% in Q1 (adj. for trade inventory); fourth consecutive quarter of sequential moderation</w:t>
            </w:r>
          </w:p>
        </w:tc>
        <w:tc>
          <w:tcPr>
            <w:tcW w:type="dxa" w:w="1728"/>
          </w:tcPr>
          <w:p>
            <w:r>
              <w:rPr>
                <w:rFonts w:ascii="Calibri" w:hAnsi="Calibri"/>
                <w:sz w:val="22"/>
              </w:rPr>
              <w:t>— (no formal guidance)</w:t>
            </w:r>
          </w:p>
        </w:tc>
        <w:tc>
          <w:tcPr>
            <w:tcW w:type="dxa" w:w="1728"/>
          </w:tcPr>
          <w:p>
            <w:r>
              <w:rPr>
                <w:rFonts w:ascii="Calibri" w:hAnsi="Calibri"/>
                <w:sz w:val="22"/>
              </w:rPr>
              <w:t>N/A — not formally guided</w:t>
            </w:r>
          </w:p>
        </w:tc>
        <w:tc>
          <w:tcPr>
            <w:tcW w:type="dxa" w:w="1728"/>
          </w:tcPr>
          <w:p>
            <w:r>
              <w:rPr>
                <w:rFonts w:ascii="Calibri" w:hAnsi="Calibri"/>
                <w:sz w:val="22"/>
              </w:rPr>
              <w:t>Management cited reduced cross-category movement from illicit e-vapor as primary driver of moderation; macro headwinds (gas prices) remain a risk.</w:t>
            </w:r>
          </w:p>
        </w:tc>
      </w:tr>
      <w:tr>
        <w:tc>
          <w:tcPr>
            <w:tcW w:type="dxa" w:w="1728"/>
          </w:tcPr>
          <w:p>
            <w:r>
              <w:rPr>
                <w:rFonts w:ascii="Calibri" w:hAnsi="Calibri"/>
                <w:sz w:val="22"/>
              </w:rPr>
              <w:t>on! PLUS Distribution</w:t>
            </w:r>
          </w:p>
        </w:tc>
        <w:tc>
          <w:tcPr>
            <w:tcW w:type="dxa" w:w="1728"/>
          </w:tcPr>
          <w:p>
            <w:r>
              <w:rPr>
                <w:rFonts w:ascii="Calibri" w:hAnsi="Calibri"/>
                <w:sz w:val="22"/>
              </w:rPr>
              <w:t>~100,000 stores (85% of nicotine pouch category volume) at end of Q1 2026</w:t>
            </w:r>
          </w:p>
        </w:tc>
        <w:tc>
          <w:tcPr>
            <w:tcW w:type="dxa" w:w="1728"/>
          </w:tcPr>
          <w:p>
            <w:r>
              <w:rPr>
                <w:rFonts w:ascii="Calibri" w:hAnsi="Calibri"/>
                <w:sz w:val="22"/>
              </w:rPr>
              <w:t>— (no formal update)</w:t>
            </w:r>
          </w:p>
        </w:tc>
        <w:tc>
          <w:tcPr>
            <w:tcW w:type="dxa" w:w="1728"/>
          </w:tcPr>
          <w:p>
            <w:r>
              <w:rPr>
                <w:rFonts w:ascii="Calibri" w:hAnsi="Calibri"/>
                <w:sz w:val="22"/>
              </w:rPr>
              <w:t>N/A — not formally guided</w:t>
            </w:r>
          </w:p>
        </w:tc>
        <w:tc>
          <w:tcPr>
            <w:tcW w:type="dxa" w:w="1728"/>
          </w:tcPr>
          <w:p>
            <w:r>
              <w:rPr>
                <w:rFonts w:ascii="Calibri" w:hAnsi="Calibri"/>
                <w:sz w:val="22"/>
              </w:rPr>
              <w:t>Full national rollout completed in Q1; Q2 focus shifts to velocity and share gains vs. Zyn.</w:t>
            </w:r>
          </w:p>
        </w:tc>
      </w:tr>
      <w:tr>
        <w:tc>
          <w:tcPr>
            <w:tcW w:type="dxa" w:w="1728"/>
          </w:tcPr>
          <w:p>
            <w:r>
              <w:rPr>
                <w:rFonts w:ascii="Calibri" w:hAnsi="Calibri"/>
                <w:sz w:val="22"/>
              </w:rPr>
              <w:t>Marlboro Cowboy Cut Launch</w:t>
            </w:r>
          </w:p>
        </w:tc>
        <w:tc>
          <w:tcPr>
            <w:tcW w:type="dxa" w:w="1728"/>
          </w:tcPr>
          <w:p>
            <w:r>
              <w:rPr>
                <w:rFonts w:ascii="Calibri" w:hAnsi="Calibri"/>
                <w:sz w:val="22"/>
              </w:rPr>
              <w:t>Broader national distribution planned for later in Q2 2026</w:t>
            </w:r>
          </w:p>
        </w:tc>
        <w:tc>
          <w:tcPr>
            <w:tcW w:type="dxa" w:w="1728"/>
          </w:tcPr>
          <w:p>
            <w:r>
              <w:rPr>
                <w:rFonts w:ascii="Calibri" w:hAnsi="Calibri"/>
                <w:sz w:val="22"/>
              </w:rPr>
              <w:t>— (no formal update)</w:t>
            </w:r>
          </w:p>
        </w:tc>
        <w:tc>
          <w:tcPr>
            <w:tcW w:type="dxa" w:w="1728"/>
          </w:tcPr>
          <w:p>
            <w:r>
              <w:rPr>
                <w:rFonts w:ascii="Calibri" w:hAnsi="Calibri"/>
                <w:sz w:val="22"/>
              </w:rPr>
              <w:t>N/A — not formally guided</w:t>
            </w:r>
          </w:p>
        </w:tc>
        <w:tc>
          <w:tcPr>
            <w:tcW w:type="dxa" w:w="1728"/>
          </w:tcPr>
          <w:p>
            <w:r>
              <w:rPr>
                <w:rFonts w:ascii="Calibri" w:hAnsi="Calibri"/>
                <w:sz w:val="22"/>
              </w:rPr>
              <w:t>Positioned as RGM tool to retain value-sensitive Marlboro smokers; Q2 will be first full quarter of broader distribution.</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stable-to-slightly-higher since the Q1 2026 print — Q2 2026 EPS consensus moved from $1.486 to $1.495 (+0.6%) and FY2026 from $5.700 to $5.715 (+0.3%), suggesting the Street is modestly nudging numbers up but not aggressively chasing upside. </w:t>
      </w:r>
      <w:r>
        <w:rPr>
          <w:rFonts w:ascii="Calibri" w:hAnsi="Calibri"/>
          <w:b/>
          <w:color w:val="525866"/>
          <w:sz w:val="22"/>
        </w:rPr>
        <w:t>Consensus sits near the top of the guidance range</w:t>
      </w:r>
      <w:r>
        <w:rPr>
          <w:rFonts w:ascii="Calibri" w:hAnsi="Calibri"/>
          <w:color w:val="525866"/>
          <w:sz w:val="22"/>
        </w:rPr>
        <w:t>, implying the market expects MO to execute toward the high end of its $5.56–$5.72 target.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Diluted EPS — Q2 2026</w:t>
            </w:r>
          </w:p>
        </w:tc>
        <w:tc>
          <w:tcPr>
            <w:tcW w:type="dxa" w:w="1080"/>
          </w:tcPr>
          <w:p>
            <w:r>
              <w:rPr>
                <w:rFonts w:ascii="Calibri" w:hAnsi="Calibri"/>
                <w:sz w:val="22"/>
              </w:rPr>
              <w:t>$1.486</w:t>
            </w:r>
          </w:p>
        </w:tc>
        <w:tc>
          <w:tcPr>
            <w:tcW w:type="dxa" w:w="1080"/>
          </w:tcPr>
          <w:p>
            <w:r>
              <w:rPr>
                <w:rFonts w:ascii="Calibri" w:hAnsi="Calibri"/>
                <w:sz w:val="22"/>
              </w:rPr>
              <w:t>$1.495</w:t>
            </w:r>
          </w:p>
        </w:tc>
        <w:tc>
          <w:tcPr>
            <w:tcW w:type="dxa" w:w="1080"/>
          </w:tcPr>
          <w:p>
            <w:r>
              <w:rPr>
                <w:rFonts w:ascii="Calibri" w:hAnsi="Calibri"/>
                <w:sz w:val="22"/>
              </w:rPr>
              <w:t>+0.6%</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Diluted EPS — FY2026</w:t>
            </w:r>
          </w:p>
        </w:tc>
        <w:tc>
          <w:tcPr>
            <w:tcW w:type="dxa" w:w="1080"/>
          </w:tcPr>
          <w:p>
            <w:r>
              <w:rPr>
                <w:rFonts w:ascii="Calibri" w:hAnsi="Calibri"/>
                <w:sz w:val="22"/>
              </w:rPr>
              <w:t>$5.700</w:t>
            </w:r>
          </w:p>
        </w:tc>
        <w:tc>
          <w:tcPr>
            <w:tcW w:type="dxa" w:w="1080"/>
          </w:tcPr>
          <w:p>
            <w:r>
              <w:rPr>
                <w:rFonts w:ascii="Calibri" w:hAnsi="Calibri"/>
                <w:sz w:val="22"/>
              </w:rPr>
              <w:t>$5.715</w:t>
            </w:r>
          </w:p>
        </w:tc>
        <w:tc>
          <w:tcPr>
            <w:tcW w:type="dxa" w:w="1080"/>
          </w:tcPr>
          <w:p>
            <w:r>
              <w:rPr>
                <w:rFonts w:ascii="Calibri" w:hAnsi="Calibri"/>
                <w:sz w:val="22"/>
              </w:rPr>
              <w:t>+0.3%</w:t>
            </w:r>
          </w:p>
        </w:tc>
        <w:tc>
          <w:tcPr>
            <w:tcW w:type="dxa" w:w="1080"/>
          </w:tcPr>
          <w:p>
            <w:r>
              <w:rPr>
                <w:rFonts w:ascii="Calibri" w:hAnsi="Calibri"/>
                <w:sz w:val="22"/>
              </w:rPr>
              <w:t>$5.56–$5.72 (mid: $5.64)</w:t>
            </w:r>
          </w:p>
        </w:tc>
        <w:tc>
          <w:tcPr>
            <w:tcW w:type="dxa" w:w="1080"/>
          </w:tcPr>
          <w:p>
            <w:r>
              <w:rPr>
                <w:rFonts w:ascii="Calibri" w:hAnsi="Calibri"/>
                <w:sz w:val="22"/>
              </w:rPr>
              <w:t>$5.56–$5.72 (unchanged)</w:t>
            </w:r>
          </w:p>
        </w:tc>
        <w:tc>
          <w:tcPr>
            <w:tcW w:type="dxa" w:w="1080"/>
          </w:tcPr>
          <w:p>
            <w:r>
              <w:rPr>
                <w:rFonts w:ascii="Calibri" w:hAnsi="Calibri"/>
                <w:sz w:val="22"/>
              </w:rPr>
              <w:t>0%</w:t>
            </w:r>
          </w:p>
        </w:tc>
        <w:tc>
          <w:tcPr>
            <w:tcW w:type="dxa" w:w="1080"/>
          </w:tcPr>
          <w:p>
            <w:r>
              <w:rPr>
                <w:rFonts w:ascii="Calibri" w:hAnsi="Calibri"/>
                <w:sz w:val="22"/>
              </w:rPr>
              <w:t>+1.3% above midpoint; near top of range</w:t>
            </w:r>
          </w:p>
        </w:tc>
      </w:tr>
      <w:tr>
        <w:tc>
          <w:tcPr>
            <w:tcW w:type="dxa" w:w="1080"/>
          </w:tcPr>
          <w:p>
            <w:r>
              <w:rPr>
                <w:rFonts w:ascii="Calibri" w:hAnsi="Calibri"/>
                <w:sz w:val="22"/>
              </w:rPr>
              <w:t>Net Revenue — Smokeable Q2 2026 ($B)</w:t>
            </w:r>
          </w:p>
        </w:tc>
        <w:tc>
          <w:tcPr>
            <w:tcW w:type="dxa" w:w="1080"/>
          </w:tcPr>
          <w:p>
            <w:r>
              <w:rPr>
                <w:rFonts w:ascii="Calibri" w:hAnsi="Calibri"/>
                <w:sz w:val="22"/>
              </w:rPr>
              <w:t>$4.611B</w:t>
            </w:r>
          </w:p>
        </w:tc>
        <w:tc>
          <w:tcPr>
            <w:tcW w:type="dxa" w:w="1080"/>
          </w:tcPr>
          <w:p>
            <w:r>
              <w:rPr>
                <w:rFonts w:ascii="Calibri" w:hAnsi="Calibri"/>
                <w:sz w:val="22"/>
              </w:rPr>
              <w:t>$4.624B</w:t>
            </w:r>
          </w:p>
        </w:tc>
        <w:tc>
          <w:tcPr>
            <w:tcW w:type="dxa" w:w="1080"/>
          </w:tcPr>
          <w:p>
            <w:r>
              <w:rPr>
                <w:rFonts w:ascii="Calibri" w:hAnsi="Calibri"/>
                <w:sz w:val="22"/>
              </w:rPr>
              <w:t>+0.3%</w:t>
            </w:r>
          </w:p>
        </w:tc>
        <w:tc>
          <w:tcPr>
            <w:tcW w:type="dxa" w:w="1080"/>
          </w:tcPr>
          <w:p>
            <w:r>
              <w:rPr>
                <w:rFonts w:ascii="Calibri" w:hAnsi="Calibri"/>
                <w:sz w:val="22"/>
              </w:rPr>
              <w:t>No segment guidance</w:t>
            </w:r>
          </w:p>
        </w:tc>
        <w:tc>
          <w:tcPr>
            <w:tcW w:type="dxa" w:w="1080"/>
          </w:tcPr>
          <w:p>
            <w:r>
              <w:rPr>
                <w:rFonts w:ascii="Calibri" w:hAnsi="Calibri"/>
                <w:sz w:val="22"/>
              </w:rPr>
              <w:t>No segment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Smokeable FY2026 ($B)</w:t>
            </w:r>
          </w:p>
        </w:tc>
        <w:tc>
          <w:tcPr>
            <w:tcW w:type="dxa" w:w="1080"/>
          </w:tcPr>
          <w:p>
            <w:r>
              <w:rPr>
                <w:rFonts w:ascii="Calibri" w:hAnsi="Calibri"/>
                <w:sz w:val="22"/>
              </w:rPr>
              <w:t>$17.680B</w:t>
            </w:r>
          </w:p>
        </w:tc>
        <w:tc>
          <w:tcPr>
            <w:tcW w:type="dxa" w:w="1080"/>
          </w:tcPr>
          <w:p>
            <w:r>
              <w:rPr>
                <w:rFonts w:ascii="Calibri" w:hAnsi="Calibri"/>
                <w:sz w:val="22"/>
              </w:rPr>
              <w:t>$17.783B</w:t>
            </w:r>
          </w:p>
        </w:tc>
        <w:tc>
          <w:tcPr>
            <w:tcW w:type="dxa" w:w="1080"/>
          </w:tcPr>
          <w:p>
            <w:r>
              <w:rPr>
                <w:rFonts w:ascii="Calibri" w:hAnsi="Calibri"/>
                <w:sz w:val="22"/>
              </w:rPr>
              <w:t>+0.6%</w:t>
            </w:r>
          </w:p>
        </w:tc>
        <w:tc>
          <w:tcPr>
            <w:tcW w:type="dxa" w:w="1080"/>
          </w:tcPr>
          <w:p>
            <w:r>
              <w:rPr>
                <w:rFonts w:ascii="Calibri" w:hAnsi="Calibri"/>
                <w:sz w:val="22"/>
              </w:rPr>
              <w:t>No segment guidance</w:t>
            </w:r>
          </w:p>
        </w:tc>
        <w:tc>
          <w:tcPr>
            <w:tcW w:type="dxa" w:w="1080"/>
          </w:tcPr>
          <w:p>
            <w:r>
              <w:rPr>
                <w:rFonts w:ascii="Calibri" w:hAnsi="Calibri"/>
                <w:sz w:val="22"/>
              </w:rPr>
              <w:t>No segment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Estimates are tracking guidance well with a slight upward drift post-Q1 beat. The FY2026 consensus of $5.715 sits 1.3% above the guidance midpoint of $5.64, suggesting the Street is pricing in execution toward the top of the range — which creates modest upside risk if MO raises guidance on the Q2 call, and limited downside if it merely reaffirms.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MO has delivered modest positive absolute returns since the Q1 2026 earnings date (+3.1% indexed), broadly in line with XLP (+3.6%) and ahead of SPY (+1.5%), suggesting </w:t>
      </w:r>
      <w:r>
        <w:rPr>
          <w:rFonts w:ascii="Calibri" w:hAnsi="Calibri"/>
          <w:b/>
          <w:color w:val="525866"/>
          <w:sz w:val="22"/>
        </w:rPr>
        <w:t>performance has been driven by defensive rotation and yield appeal rather than estimate revisions or multiple expansion</w:t>
      </w:r>
      <w:r>
        <w:rPr>
          <w:rFonts w:ascii="Calibri" w:hAnsi="Calibri"/>
          <w:color w:val="525866"/>
          <w:sz w:val="22"/>
        </w:rPr>
        <w:t>. The stock is not priced for a beat.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MO vs. XLP vs. S&amp;P 500 — Indexed Performance Since Q1 2026 Earnings (April 30, 2026). Base = 100. Sector ETF: XLP (Consumer Staples Select Sector SPDR). Source: Yahoo Finance.</w:t>
      </w:r>
    </w:p>
    <w:p>
      <w:r>
        <w:rPr>
          <w:rFonts w:ascii="Calibri" w:hAnsi="Calibri"/>
          <w:b/>
          <w:color w:val="525866"/>
          <w:sz w:val="22"/>
        </w:rPr>
        <w:t>Performance Summary (April 30 – July 29, 2026):</w:t>
      </w:r>
    </w:p>
    <w:p>
      <w:pPr>
        <w:pStyle w:val="ListBullet"/>
        <w:ind w:left="360" w:hanging="360"/>
      </w:pPr>
      <w:r>
        <w:rPr>
          <w:rFonts w:ascii="Calibri" w:hAnsi="Calibri"/>
          <w:b/>
          <w:color w:val="525866"/>
          <w:sz w:val="22"/>
        </w:rPr>
        <w:t xml:space="preserve">MO: </w:t>
      </w:r>
      <w:r>
        <w:rPr>
          <w:rFonts w:ascii="Calibri" w:hAnsi="Calibri"/>
          <w:color w:val="525866"/>
          <w:sz w:val="22"/>
        </w:rPr>
        <w:t>$72.65 → $74.82 close (Jul 28); +3.1% indexed from earnings date. Post-market Jul 29: ~$74.94.</w:t>
      </w:r>
    </w:p>
    <w:p>
      <w:pPr>
        <w:pStyle w:val="ListBullet"/>
        <w:ind w:left="360" w:hanging="360"/>
      </w:pPr>
      <w:r>
        <w:rPr>
          <w:rFonts w:ascii="Calibri" w:hAnsi="Calibri"/>
          <w:b/>
          <w:color w:val="525866"/>
          <w:sz w:val="22"/>
        </w:rPr>
        <w:t xml:space="preserve">XLP (Consumer Staples ETF): </w:t>
      </w:r>
      <w:r>
        <w:rPr>
          <w:rFonts w:ascii="Calibri" w:hAnsi="Calibri"/>
          <w:color w:val="525866"/>
          <w:sz w:val="22"/>
        </w:rPr>
        <w:t>$83.08 → $87.06; +3.6% indexed. MO slightly underperformed its sector.</w:t>
      </w:r>
    </w:p>
    <w:p>
      <w:pPr>
        <w:pStyle w:val="ListBullet"/>
        <w:ind w:left="360" w:hanging="360"/>
      </w:pPr>
      <w:r>
        <w:rPr>
          <w:rFonts w:ascii="Calibri" w:hAnsi="Calibri"/>
          <w:b/>
          <w:color w:val="525866"/>
          <w:sz w:val="22"/>
        </w:rPr>
        <w:t xml:space="preserve">SPY (S&amp;P 500): </w:t>
      </w:r>
      <w:r>
        <w:rPr>
          <w:rFonts w:ascii="Calibri" w:hAnsi="Calibri"/>
          <w:color w:val="525866"/>
          <w:sz w:val="22"/>
        </w:rPr>
        <w:t>$711.69 → $740.86; +1.5% indexed. MO outperformed the broad market.</w:t>
      </w:r>
    </w:p>
    <w:p>
      <w:pPr>
        <w:pStyle w:val="ListBullet"/>
        <w:ind w:left="360" w:hanging="360"/>
      </w:pPr>
      <w:r>
        <w:rPr>
          <w:rFonts w:ascii="Calibri" w:hAnsi="Calibri"/>
          <w:b/>
          <w:color w:val="525866"/>
          <w:sz w:val="22"/>
        </w:rPr>
        <w:t xml:space="preserve">Key observation: </w:t>
      </w:r>
      <w:r>
        <w:rPr>
          <w:rFonts w:ascii="Calibri" w:hAnsi="Calibri"/>
          <w:color w:val="525866"/>
          <w:sz w:val="22"/>
        </w:rPr>
        <w:t>MO surged ~5.5% on the Q1 earnings day (Apr 30: $67.80 pre-earnings close → $72.65 post-earnings close), then traded sideways-to-slightly-lower through mid-June before recovering in late June/July. The stock hit a recent high near $74.82 on July 28, approaching a 52-week high, driven by defensive rotation as macro uncertainty persisted.</w:t>
      </w:r>
    </w:p>
    <w:p>
      <w:pPr>
        <w:pStyle w:val="ListBullet"/>
        <w:ind w:left="360" w:hanging="360"/>
      </w:pPr>
      <w:r>
        <w:rPr>
          <w:rFonts w:ascii="Calibri" w:hAnsi="Calibri"/>
          <w:b/>
          <w:color w:val="525866"/>
          <w:sz w:val="22"/>
        </w:rPr>
        <w:t xml:space="preserve">Analyst sentiment: </w:t>
      </w:r>
      <w:r>
        <w:rPr>
          <w:rFonts w:ascii="Calibri" w:hAnsi="Calibri"/>
          <w:color w:val="525866"/>
          <w:sz w:val="22"/>
        </w:rPr>
        <w:t>Consensus rating is 'Hold' with average price target ~$70.44–$70.78 (MarketBeat), implying modest downside from current levels. Notable post-Q1 actions: Citigroup raised PT from $65 to $70 (Neutral); Morgan Stanley set $71 target; Goldman Sachs reiterated Buy at $77; Jefferies raised PT from $50 to $60 (Underperform); BTIG initiated Neutral (Jul 21, 2026).</w:t>
      </w:r>
    </w:p>
    <w:p>
      <w:r>
        <w:rPr>
          <w:rFonts w:ascii="Calibri" w:hAnsi="Calibri"/>
          <w:i/>
          <w:color w:val="525866"/>
          <w:sz w:val="22"/>
        </w:rPr>
        <w:t>Source: Yahoo Finance stock price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CEO transition completing on May 14</w:t>
      </w:r>
      <w:r>
        <w:rPr>
          <w:rFonts w:ascii="Calibri" w:hAnsi="Calibri"/>
          <w:color w:val="525866"/>
          <w:sz w:val="22"/>
        </w:rPr>
        <w:t xml:space="preserve"> (Sal Mancuso now CEO, Heather Newman CFO), which removes a leadership overhang; the second most important is PM's Q2 2026 earnings confirming Zyn share losses — a direct positive read-through for on! PLUS momentum heading into MO's print.</w:t>
      </w:r>
    </w:p>
    <w:p>
      <w:pPr>
        <w:pStyle w:val="ListBullet"/>
        <w:ind w:left="360" w:hanging="360"/>
      </w:pPr>
      <w:r>
        <w:rPr>
          <w:rFonts w:ascii="Calibri" w:hAnsi="Calibri"/>
          <w:b/>
          <w:color w:val="525866"/>
          <w:sz w:val="22"/>
        </w:rPr>
        <w:t xml:space="preserve">July 22, 2026 — PM Q2 2026 Earnings (Zyn Read-Through): </w:t>
      </w:r>
      <w:r>
        <w:rPr>
          <w:rFonts w:ascii="Calibri" w:hAnsi="Calibri"/>
          <w:color w:val="525866"/>
          <w:sz w:val="22"/>
        </w:rPr>
        <w:t xml:space="preserve">Philip Morris reported Zyn shipments grew only 2% YoY to 2.9B pouches in Q2, with Zyn retail value share at ~57% but under pressure from 'competitive gaps in the growing higher-strength segment' and an 'elevated price premium.' PM launched Zyn Ultra (9mg/11mg moist variants) at a lower per-pouch price to address share losses. </w:t>
      </w:r>
      <w:r>
        <w:rPr>
          <w:rFonts w:ascii="Calibri" w:hAnsi="Calibri"/>
          <w:b/>
          <w:color w:val="525866"/>
          <w:sz w:val="22"/>
        </w:rPr>
        <w:t xml:space="preserve">Implication: </w:t>
      </w:r>
      <w:r>
        <w:rPr>
          <w:rFonts w:ascii="Calibri" w:hAnsi="Calibri"/>
          <w:color w:val="525866"/>
          <w:sz w:val="22"/>
        </w:rPr>
        <w:t>Zyn's struggles are a direct positive read-through for on! PLUS, which is positioned in the higher-strength, moist-pouch segment with NICOSILK technology. on! PLUS's national rollout in Q1 appears to be gaining traction at Zyn's expense.</w:t>
      </w:r>
    </w:p>
    <w:p>
      <w:pPr>
        <w:pStyle w:val="ListBullet"/>
        <w:ind w:left="360" w:hanging="360"/>
      </w:pPr>
      <w:r>
        <w:rPr>
          <w:rFonts w:ascii="Calibri" w:hAnsi="Calibri"/>
          <w:b/>
          <w:color w:val="525866"/>
          <w:sz w:val="22"/>
        </w:rPr>
        <w:t xml:space="preserve">May 18, 2026 — CEO/CFO Compensation &amp; Consulting Agreement Filed (8-K): </w:t>
      </w:r>
      <w:r>
        <w:rPr>
          <w:rFonts w:ascii="Calibri" w:hAnsi="Calibri"/>
          <w:color w:val="525866"/>
          <w:sz w:val="22"/>
        </w:rPr>
        <w:t xml:space="preserve">Altria filed details of new CEO Sal Mancuso's and CFO Heather Newman's compensation packages, and former CEO Billy Gifford's retirement/consulting arrangement (through at least year-end 2026). </w:t>
      </w:r>
      <w:r>
        <w:rPr>
          <w:rFonts w:ascii="Calibri" w:hAnsi="Calibri"/>
          <w:b/>
          <w:color w:val="525866"/>
          <w:sz w:val="22"/>
        </w:rPr>
        <w:t xml:space="preserve">Implication: </w:t>
      </w:r>
      <w:r>
        <w:rPr>
          <w:rFonts w:ascii="Calibri" w:hAnsi="Calibri"/>
          <w:color w:val="525866"/>
          <w:sz w:val="22"/>
        </w:rPr>
        <w:t>Leadership transition is complete and orderly; Gifford's consulting role provides continuity. No strategic disruption expected.</w:t>
      </w:r>
    </w:p>
    <w:p>
      <w:pPr>
        <w:pStyle w:val="ListBullet"/>
        <w:ind w:left="360" w:hanging="360"/>
      </w:pPr>
      <w:r>
        <w:rPr>
          <w:rFonts w:ascii="Calibri" w:hAnsi="Calibri"/>
          <w:b/>
          <w:color w:val="525866"/>
          <w:sz w:val="22"/>
        </w:rPr>
        <w:t xml:space="preserve">May 14, 2026 — Annual Meeting; Quarterly Dividend Declared: </w:t>
      </w:r>
      <w:r>
        <w:rPr>
          <w:rFonts w:ascii="Calibri" w:hAnsi="Calibri"/>
          <w:color w:val="525866"/>
          <w:sz w:val="22"/>
        </w:rPr>
        <w:t xml:space="preserve">Altria held its 2026 Annual Meeting. Declared regular quarterly dividend of $1.06 per share. Billy Gifford retired as CEO; Sal Mancuso officially became CEO. </w:t>
      </w:r>
      <w:r>
        <w:rPr>
          <w:rFonts w:ascii="Calibri" w:hAnsi="Calibri"/>
          <w:b/>
          <w:color w:val="525866"/>
          <w:sz w:val="22"/>
        </w:rPr>
        <w:t xml:space="preserve">Implication: </w:t>
      </w:r>
      <w:r>
        <w:rPr>
          <w:rFonts w:ascii="Calibri" w:hAnsi="Calibri"/>
          <w:color w:val="525866"/>
          <w:sz w:val="22"/>
        </w:rPr>
        <w:t>Dividend maintained at $1.06/share ($4.24 annualized), supporting the yield thesis. CEO transition completed without incident.</w:t>
      </w:r>
    </w:p>
    <w:p>
      <w:pPr>
        <w:pStyle w:val="ListBullet"/>
        <w:ind w:left="360" w:hanging="360"/>
      </w:pPr>
      <w:r>
        <w:rPr>
          <w:rFonts w:ascii="Calibri" w:hAnsi="Calibri"/>
          <w:b/>
          <w:color w:val="525866"/>
          <w:sz w:val="22"/>
        </w:rPr>
        <w:t xml:space="preserve">May 27, 2026 — Jefferies Raises PT (Underperform): </w:t>
      </w:r>
      <w:r>
        <w:rPr>
          <w:rFonts w:ascii="Calibri" w:hAnsi="Calibri"/>
          <w:color w:val="525866"/>
          <w:sz w:val="22"/>
        </w:rPr>
        <w:t xml:space="preserve">Jefferies raised its price target on MO from $50 to $60 while maintaining an Underperform rating. </w:t>
      </w:r>
      <w:r>
        <w:rPr>
          <w:rFonts w:ascii="Calibri" w:hAnsi="Calibri"/>
          <w:b/>
          <w:color w:val="525866"/>
          <w:sz w:val="22"/>
        </w:rPr>
        <w:t xml:space="preserve">Implication: </w:t>
      </w:r>
      <w:r>
        <w:rPr>
          <w:rFonts w:ascii="Calibri" w:hAnsi="Calibri"/>
          <w:color w:val="525866"/>
          <w:sz w:val="22"/>
        </w:rPr>
        <w:t>Even the most bearish sell-side analyst is acknowledging the stock's improved fundamentals, though the Underperform rating reflects ongoing skepticism about the smoke-free transition.</w:t>
      </w:r>
    </w:p>
    <w:p>
      <w:pPr>
        <w:pStyle w:val="ListBullet"/>
        <w:ind w:left="360" w:hanging="360"/>
      </w:pPr>
      <w:r>
        <w:rPr>
          <w:rFonts w:ascii="Calibri" w:hAnsi="Calibri"/>
          <w:b/>
          <w:color w:val="525866"/>
          <w:sz w:val="22"/>
        </w:rPr>
        <w:t xml:space="preserve">May 15, 2026 — Barclays Raises PT: </w:t>
      </w:r>
      <w:r>
        <w:rPr>
          <w:rFonts w:ascii="Calibri" w:hAnsi="Calibri"/>
          <w:color w:val="525866"/>
          <w:sz w:val="22"/>
        </w:rPr>
        <w:t xml:space="preserve">Barclays raised its price target from $63 to $64 (Underweight). May 4: Deutsche Bank raised from $60 to $66 (Hold). May 1: UBS raised from $74 to $76 (Buy); Goldman Sachs reiterated Buy at $77; Citigroup raised from $65 to $70 (Neutral); Morgan Stanley set $71 target. </w:t>
      </w:r>
      <w:r>
        <w:rPr>
          <w:rFonts w:ascii="Calibri" w:hAnsi="Calibri"/>
          <w:b/>
          <w:color w:val="525866"/>
          <w:sz w:val="22"/>
        </w:rPr>
        <w:t xml:space="preserve">Implication: </w:t>
      </w:r>
      <w:r>
        <w:rPr>
          <w:rFonts w:ascii="Calibri" w:hAnsi="Calibri"/>
          <w:color w:val="525866"/>
          <w:sz w:val="22"/>
        </w:rPr>
        <w:t>Broad post-Q1 PT upgrades across the Street reflect the Q1 beat and improved volume trajectory, though most remain cautious on the smoke-free transition.</w:t>
      </w:r>
    </w:p>
    <w:p>
      <w:pPr>
        <w:pStyle w:val="ListBullet"/>
        <w:ind w:left="360" w:hanging="360"/>
      </w:pPr>
      <w:r>
        <w:rPr>
          <w:rFonts w:ascii="Calibri" w:hAnsi="Calibri"/>
          <w:b/>
          <w:color w:val="525866"/>
          <w:sz w:val="22"/>
        </w:rPr>
        <w:t xml:space="preserve">May 1, 2026 — Q1 2026 Beat &amp; Guidance Reaffirmation: </w:t>
      </w:r>
      <w:r>
        <w:rPr>
          <w:rFonts w:ascii="Calibri" w:hAnsi="Calibri"/>
          <w:color w:val="525866"/>
          <w:sz w:val="22"/>
        </w:rPr>
        <w:t xml:space="preserve">MO reported Q1 2026 adjusted diluted EPS of $1.32 vs. consensus of $1.249 (+5.7% beat). Smokeable OCI grew 6.3% with margins expanding to 65.1%. Cigarette industry volume declines moderated for the fourth consecutive quarter. on! PLUS achieved national distribution in ~100,000 stores (85% of nicotine pouch category volume). FY2026 guidance reaffirmed at $5.56–$5.72; phasing shifted to more balanced H1/H2. </w:t>
      </w:r>
      <w:r>
        <w:rPr>
          <w:rFonts w:ascii="Calibri" w:hAnsi="Calibri"/>
          <w:b/>
          <w:color w:val="525866"/>
          <w:sz w:val="22"/>
        </w:rPr>
        <w:t xml:space="preserve">Implication: </w:t>
      </w:r>
      <w:r>
        <w:rPr>
          <w:rFonts w:ascii="Calibri" w:hAnsi="Calibri"/>
          <w:color w:val="525866"/>
          <w:sz w:val="22"/>
        </w:rPr>
        <w:t>Sets a higher bar for Q2 but also demonstrates the business is executing better than feared.</w:t>
      </w:r>
    </w:p>
    <w:p>
      <w:pPr>
        <w:pStyle w:val="ListBullet"/>
        <w:ind w:left="360" w:hanging="360"/>
      </w:pPr>
      <w:r>
        <w:rPr>
          <w:rFonts w:ascii="Calibri" w:hAnsi="Calibri"/>
          <w:b/>
          <w:color w:val="525866"/>
          <w:sz w:val="22"/>
        </w:rPr>
        <w:t xml:space="preserve">June 2, 2026 — PM Deutsche Bank Conference (Zyn Competitive Dynamics): </w:t>
      </w:r>
      <w:r>
        <w:rPr>
          <w:rFonts w:ascii="Calibri" w:hAnsi="Calibri"/>
          <w:color w:val="525866"/>
          <w:sz w:val="22"/>
        </w:rPr>
        <w:t xml:space="preserve">PM CEO discussed Zyn's market share pressure due to 'asymmetry in the portfolio' and a 70% price premium vs. competitors. Announced ZYN Ultra launch to address pricing gap. Confirmed US nicotine pouch category growing 20–30% annually. </w:t>
      </w:r>
      <w:r>
        <w:rPr>
          <w:rFonts w:ascii="Calibri" w:hAnsi="Calibri"/>
          <w:b/>
          <w:color w:val="525866"/>
          <w:sz w:val="22"/>
        </w:rPr>
        <w:t xml:space="preserve">Implication: </w:t>
      </w:r>
      <w:r>
        <w:rPr>
          <w:rFonts w:ascii="Calibri" w:hAnsi="Calibri"/>
          <w:color w:val="525866"/>
          <w:sz w:val="22"/>
        </w:rPr>
        <w:t>Confirms the competitive window for on! PLUS to gain share; Zyn's pricing adjustment may compress the premium gap but also validates the category's growth trajectory.</w:t>
      </w:r>
    </w:p>
    <w:p>
      <w:pPr>
        <w:pStyle w:val="ListBullet"/>
        <w:ind w:left="360" w:hanging="360"/>
      </w:pPr>
      <w:r>
        <w:rPr>
          <w:rFonts w:ascii="Calibri" w:hAnsi="Calibri"/>
          <w:b/>
          <w:color w:val="525866"/>
          <w:sz w:val="22"/>
        </w:rPr>
        <w:t xml:space="preserve">July 28, 2026 — KO Q2 2026 Earnings (Consumer Macro Read-Through): </w:t>
      </w:r>
      <w:r>
        <w:rPr>
          <w:rFonts w:ascii="Calibri" w:hAnsi="Calibri"/>
          <w:color w:val="525866"/>
          <w:sz w:val="22"/>
        </w:rPr>
        <w:t xml:space="preserve">Coca-Cola noted the consumer environment is 'stable in aggregate, but many remain under pressure' in the US, with 'lower income continues to be pressured.' The company is using RGM tools to address affordability. </w:t>
      </w:r>
      <w:r>
        <w:rPr>
          <w:rFonts w:ascii="Calibri" w:hAnsi="Calibri"/>
          <w:b/>
          <w:color w:val="525866"/>
          <w:sz w:val="22"/>
        </w:rPr>
        <w:t xml:space="preserve">Implication: </w:t>
      </w:r>
      <w:r>
        <w:rPr>
          <w:rFonts w:ascii="Calibri" w:hAnsi="Calibri"/>
          <w:color w:val="525866"/>
          <w:sz w:val="22"/>
        </w:rPr>
        <w:t>Consistent with MO's Q1 commentary on value-sensitive smoker pressure; suggests the macro headwind for discount cigarette trade-down has not materially improved in Q2, which is a modest risk for Marlboro overall share.</w:t>
      </w:r>
    </w:p>
    <w:p>
      <w:pPr>
        <w:pStyle w:val="ListBullet"/>
        <w:ind w:left="360" w:hanging="360"/>
      </w:pPr>
      <w:r>
        <w:rPr>
          <w:rFonts w:ascii="Calibri" w:hAnsi="Calibri"/>
          <w:b/>
          <w:color w:val="525866"/>
          <w:sz w:val="22"/>
        </w:rPr>
        <w:t xml:space="preserve">July 21, 2026 — BTIG Initiates Coverage (Neutral): </w:t>
      </w:r>
      <w:r>
        <w:rPr>
          <w:rFonts w:ascii="Calibri" w:hAnsi="Calibri"/>
          <w:color w:val="525866"/>
          <w:sz w:val="22"/>
        </w:rPr>
        <w:t xml:space="preserve">BTIG Research initiated coverage of MO with a Neutral rating, adding to the growing list of Hold/Neutral ratings from major brokerages. </w:t>
      </w:r>
      <w:r>
        <w:rPr>
          <w:rFonts w:ascii="Calibri" w:hAnsi="Calibri"/>
          <w:b/>
          <w:color w:val="525866"/>
          <w:sz w:val="22"/>
        </w:rPr>
        <w:t xml:space="preserve">Implication: </w:t>
      </w:r>
      <w:r>
        <w:rPr>
          <w:rFonts w:ascii="Calibri" w:hAnsi="Calibri"/>
          <w:color w:val="525866"/>
          <w:sz w:val="22"/>
        </w:rPr>
        <w:t>Reflects the market's 'show-me' stance on smoke-free transition execution; no new catalyst identified.</w:t>
      </w:r>
    </w:p>
    <w:p>
      <w:r>
        <w:br w:type="page"/>
      </w:r>
    </w:p>
    <w:p>
      <w:pPr>
        <w:pStyle w:val="Heading2"/>
      </w:pPr>
      <w:r>
        <w:rPr>
          <w:rFonts w:ascii="Calibri" w:hAnsi="Calibri"/>
          <w:b/>
          <w:color w:val="3B4259"/>
          <w:sz w:val="28"/>
        </w:rPr>
        <w:t>7. Peer Commentaries — Read-Throughs for MO Q2 2026</w:t>
      </w:r>
    </w:p>
    <w:p>
      <w:r>
        <w:rPr>
          <w:rFonts w:ascii="Calibri" w:hAnsi="Calibri"/>
          <w:b/>
          <w:color w:val="525866"/>
          <w:sz w:val="22"/>
        </w:rPr>
        <w:t xml:space="preserve">Key Takeaway: </w:t>
      </w:r>
      <w:r>
        <w:rPr>
          <w:rFonts w:ascii="Calibri" w:hAnsi="Calibri"/>
          <w:color w:val="525866"/>
          <w:sz w:val="22"/>
        </w:rPr>
        <w:t xml:space="preserve">The most actionable read-throughs come from PM's Q2 2026 earnings (July 22) and the PM Deutsche Bank conference (June 2), both confirming </w:t>
      </w:r>
      <w:r>
        <w:rPr>
          <w:rFonts w:ascii="Calibri" w:hAnsi="Calibri"/>
          <w:b/>
          <w:color w:val="525866"/>
          <w:sz w:val="22"/>
        </w:rPr>
        <w:t>Zyn is losing share due to pricing and portfolio gaps</w:t>
      </w:r>
      <w:r>
        <w:rPr>
          <w:rFonts w:ascii="Calibri" w:hAnsi="Calibri"/>
          <w:color w:val="525866"/>
          <w:sz w:val="22"/>
        </w:rPr>
        <w:t xml:space="preserve"> — a direct positive signal for on! PLUS. KO's Q2 2026 commentary (July 28) confirms the low-income consumer remains under pressure, consistent with MO's Q1 warning on value-sensitive smoker trade-down. All commentary below is from the current reporting period (Q2 2026) or post-Q1 2026 earnings.</w:t>
      </w:r>
    </w:p>
    <w:p>
      <w:r>
        <w:rPr>
          <w:rFonts w:ascii="Calibri" w:hAnsi="Calibri"/>
          <w:b/>
          <w:color w:val="525866"/>
          <w:sz w:val="22"/>
          <w:u w:val="single"/>
        </w:rPr>
        <w:t>Philip Morris International (PM) — Q2 2026 Earnings Call (July 22, 2026)</w:t>
      </w:r>
    </w:p>
    <w:p>
      <w:pPr>
        <w:pStyle w:val="ListBullet"/>
        <w:ind w:left="360" w:hanging="360"/>
      </w:pPr>
      <w:r>
        <w:rPr>
          <w:rFonts w:ascii="Calibri" w:hAnsi="Calibri"/>
          <w:b/>
          <w:color w:val="525866"/>
          <w:sz w:val="22"/>
        </w:rPr>
        <w:t>Zyn shipments grew only 2% YoY to 2.9B pouches in Q2 2026</w:t>
      </w:r>
      <w:r>
        <w:rPr>
          <w:rFonts w:ascii="Calibri" w:hAnsi="Calibri"/>
          <w:color w:val="525866"/>
          <w:sz w:val="22"/>
        </w:rPr>
        <w:t xml:space="preserve">, despite an inventory tailwind of ~150M pouches in the prior year period. Zyn offtake volumes were 'broadly stable to slightly growing versus the prior year, reflecting the uneven competitive landscape.' </w:t>
      </w:r>
      <w:r>
        <w:rPr>
          <w:rFonts w:ascii="Calibri" w:hAnsi="Calibri"/>
          <w:b/>
          <w:color w:val="525866"/>
          <w:sz w:val="22"/>
        </w:rPr>
        <w:t xml:space="preserve">MO Read-Through: </w:t>
      </w:r>
      <w:r>
        <w:rPr>
          <w:rFonts w:ascii="Calibri" w:hAnsi="Calibri"/>
          <w:color w:val="525866"/>
          <w:sz w:val="22"/>
        </w:rPr>
        <w:t>Zyn's near-flat volume growth in a category growing 20–30% annually means competitors (including on! PLUS) are capturing the incremental growth. This is a direct positive signal for on! PLUS velocity in Q2.</w:t>
      </w:r>
    </w:p>
    <w:p>
      <w:pPr>
        <w:pStyle w:val="ListBullet"/>
        <w:ind w:left="360" w:hanging="360"/>
      </w:pPr>
      <w:r>
        <w:rPr>
          <w:rFonts w:ascii="Calibri" w:hAnsi="Calibri"/>
          <w:b/>
          <w:color w:val="525866"/>
          <w:sz w:val="22"/>
        </w:rPr>
        <w:t>Zyn retail value share held at ~57%</w:t>
      </w:r>
      <w:r>
        <w:rPr>
          <w:rFonts w:ascii="Calibri" w:hAnsi="Calibri"/>
          <w:color w:val="525866"/>
          <w:sz w:val="22"/>
        </w:rPr>
        <w:t xml:space="preserve">, but PM acknowledged share pressure from 'competitive gaps in the growing higher-strength segment, including moist products and in certain flavor segments, as well as an elevated price premium.' PM launched Zyn Ultra (9mg/11mg moist variants) at a lower per-pouch price to reduce the premium gap. </w:t>
      </w:r>
      <w:r>
        <w:rPr>
          <w:rFonts w:ascii="Calibri" w:hAnsi="Calibri"/>
          <w:b/>
          <w:color w:val="525866"/>
          <w:sz w:val="22"/>
        </w:rPr>
        <w:t xml:space="preserve">MO Read-Through: </w:t>
      </w:r>
      <w:r>
        <w:rPr>
          <w:rFonts w:ascii="Calibri" w:hAnsi="Calibri"/>
          <w:color w:val="525866"/>
          <w:sz w:val="22"/>
        </w:rPr>
        <w:t>on! PLUS is specifically positioned in the moist, higher-strength segment with NICOSILK technology — exactly the segment where Zyn has been losing ground. The Zyn Ultra launch is a competitive response to on! PLUS, validating the product's differentiation.</w:t>
      </w:r>
    </w:p>
    <w:p>
      <w:pPr>
        <w:pStyle w:val="ListBullet"/>
        <w:ind w:left="360" w:hanging="360"/>
      </w:pPr>
      <w:r>
        <w:rPr>
          <w:rFonts w:ascii="Calibri" w:hAnsi="Calibri"/>
          <w:b/>
          <w:color w:val="525866"/>
          <w:sz w:val="22"/>
        </w:rPr>
        <w:t>PM plans to 'accelerate US investment in the second half'</w:t>
      </w:r>
      <w:r>
        <w:rPr>
          <w:rFonts w:ascii="Calibri" w:hAnsi="Calibri"/>
          <w:color w:val="525866"/>
          <w:sz w:val="22"/>
        </w:rPr>
        <w:t xml:space="preserve"> with a comprehensive commercial program and a new brand campaign ('When it clicks'). Also preparing for IQOS Iluma US launch pending FDA action. </w:t>
      </w:r>
      <w:r>
        <w:rPr>
          <w:rFonts w:ascii="Calibri" w:hAnsi="Calibri"/>
          <w:b/>
          <w:color w:val="525866"/>
          <w:sz w:val="22"/>
        </w:rPr>
        <w:t xml:space="preserve">MO Read-Through: </w:t>
      </w:r>
      <w:r>
        <w:rPr>
          <w:rFonts w:ascii="Calibri" w:hAnsi="Calibri"/>
          <w:color w:val="525866"/>
          <w:sz w:val="22"/>
        </w:rPr>
        <w:t>Competitive intensity in the US nicotine pouch market will increase in H2 2026, but Q2 2026 (MO's current reporting quarter) predates the Zyn Ultra ramp-up, giving on! PLUS a window of reduced competitive pressure.</w:t>
      </w:r>
    </w:p>
    <w:p>
      <w:pPr>
        <w:pStyle w:val="ListBullet"/>
        <w:ind w:left="360" w:hanging="360"/>
      </w:pPr>
      <w:r>
        <w:rPr>
          <w:rFonts w:ascii="Calibri" w:hAnsi="Calibri"/>
          <w:b/>
          <w:color w:val="525866"/>
          <w:sz w:val="22"/>
        </w:rPr>
        <w:t>Zyn received MRTP authorization for 20 SKUs</w:t>
      </w:r>
      <w:r>
        <w:rPr>
          <w:rFonts w:ascii="Calibri" w:hAnsi="Calibri"/>
          <w:color w:val="525866"/>
          <w:sz w:val="22"/>
        </w:rPr>
        <w:t xml:space="preserve">, allowing PM to market specific health claims ('Using Zyn instead of cigarettes puts you at a lower risk of mouth cancer...'). </w:t>
      </w:r>
      <w:r>
        <w:rPr>
          <w:rFonts w:ascii="Calibri" w:hAnsi="Calibri"/>
          <w:b/>
          <w:color w:val="525866"/>
          <w:sz w:val="22"/>
        </w:rPr>
        <w:t xml:space="preserve">MO Read-Through: </w:t>
      </w:r>
      <w:r>
        <w:rPr>
          <w:rFonts w:ascii="Calibri" w:hAnsi="Calibri"/>
          <w:color w:val="525866"/>
          <w:sz w:val="22"/>
        </w:rPr>
        <w:t>This is a medium-term competitive risk for on! PLUS, as Zyn's MRTP designation provides a regulatory moat. However, on! PLUS's FDA pilot program authorization is its own regulatory differentiator in the near term.</w:t>
      </w:r>
    </w:p>
    <w:p>
      <w:pPr>
        <w:pStyle w:val="ListBullet"/>
        <w:ind w:left="360" w:hanging="360"/>
      </w:pPr>
      <w:r>
        <w:rPr>
          <w:rFonts w:ascii="Calibri" w:hAnsi="Calibri"/>
          <w:b/>
          <w:color w:val="525866"/>
          <w:sz w:val="22"/>
        </w:rPr>
        <w:t>US segment net revenue declined ~1% in Q2</w:t>
      </w:r>
      <w:r>
        <w:rPr>
          <w:rFonts w:ascii="Calibri" w:hAnsi="Calibri"/>
          <w:color w:val="525866"/>
          <w:sz w:val="22"/>
        </w:rPr>
        <w:t xml:space="preserve">, reflecting a decline in cigars and unfavorable phasing in the wellness business. </w:t>
      </w:r>
      <w:r>
        <w:rPr>
          <w:rFonts w:ascii="Calibri" w:hAnsi="Calibri"/>
          <w:b/>
          <w:color w:val="525866"/>
          <w:sz w:val="22"/>
        </w:rPr>
        <w:t xml:space="preserve">MO Read-Through: </w:t>
      </w:r>
      <w:r>
        <w:rPr>
          <w:rFonts w:ascii="Calibri" w:hAnsi="Calibri"/>
          <w:color w:val="525866"/>
          <w:sz w:val="22"/>
        </w:rPr>
        <w:t>PM's US combustible business is also under pressure, consistent with the broader industry volume decline trend that MO has been navigating.</w:t>
      </w:r>
    </w:p>
    <w:p>
      <w:r>
        <w:rPr>
          <w:rFonts w:ascii="Calibri" w:hAnsi="Calibri"/>
          <w:b/>
          <w:color w:val="525866"/>
          <w:sz w:val="22"/>
          <w:u w:val="single"/>
        </w:rPr>
        <w:t>Philip Morris International (PM) — Deutsche Bank Global Consumer Conference (June 2, 2026)</w:t>
      </w:r>
    </w:p>
    <w:p>
      <w:pPr>
        <w:pStyle w:val="ListBullet"/>
        <w:ind w:left="360" w:hanging="360"/>
      </w:pPr>
      <w:r>
        <w:rPr>
          <w:rFonts w:ascii="Calibri" w:hAnsi="Calibri"/>
          <w:b/>
          <w:color w:val="525866"/>
          <w:sz w:val="22"/>
        </w:rPr>
        <w:t>Zyn is 'under market share pressure over the last few quarters'</w:t>
      </w:r>
      <w:r>
        <w:rPr>
          <w:rFonts w:ascii="Calibri" w:hAnsi="Calibri"/>
          <w:color w:val="525866"/>
          <w:sz w:val="22"/>
        </w:rPr>
        <w:t xml:space="preserve"> due to 'asymmetry in the portfolio' and a 70% price premium vs. competitors. PM CEO stated: 'ZYN will be trading or retailing at about $1.60 plus, $1.70 price index. 70% premium, obviously, this translates into the share pressure.' </w:t>
      </w:r>
      <w:r>
        <w:rPr>
          <w:rFonts w:ascii="Calibri" w:hAnsi="Calibri"/>
          <w:b/>
          <w:color w:val="525866"/>
          <w:sz w:val="22"/>
        </w:rPr>
        <w:t xml:space="preserve">MO Read-Through: </w:t>
      </w:r>
      <w:r>
        <w:rPr>
          <w:rFonts w:ascii="Calibri" w:hAnsi="Calibri"/>
          <w:color w:val="525866"/>
          <w:sz w:val="22"/>
        </w:rPr>
        <w:t>Zyn's pricing disadvantage relative to on! PLUS has been a persistent tailwind for on! share gains throughout Q2 2026. This commentary, made in early June, confirms the dynamic was in place for the full quarter.</w:t>
      </w:r>
    </w:p>
    <w:p>
      <w:pPr>
        <w:pStyle w:val="ListBullet"/>
        <w:ind w:left="360" w:hanging="360"/>
      </w:pPr>
      <w:r>
        <w:rPr>
          <w:rFonts w:ascii="Calibri" w:hAnsi="Calibri"/>
          <w:b/>
          <w:color w:val="525866"/>
          <w:sz w:val="22"/>
        </w:rPr>
        <w:t>US nicotine pouch category is 'still in very embryonic phases'</w:t>
      </w:r>
      <w:r>
        <w:rPr>
          <w:rFonts w:ascii="Calibri" w:hAnsi="Calibri"/>
          <w:color w:val="525866"/>
          <w:sz w:val="22"/>
        </w:rPr>
        <w:t xml:space="preserve"> and growing 20–30% annually, with potential for acceleration. PM CEO noted the 'freedom of use' advantage of pouches vs. inhalable products. </w:t>
      </w:r>
      <w:r>
        <w:rPr>
          <w:rFonts w:ascii="Calibri" w:hAnsi="Calibri"/>
          <w:b/>
          <w:color w:val="525866"/>
          <w:sz w:val="22"/>
        </w:rPr>
        <w:t xml:space="preserve">MO Read-Through: </w:t>
      </w:r>
      <w:r>
        <w:rPr>
          <w:rFonts w:ascii="Calibri" w:hAnsi="Calibri"/>
          <w:color w:val="525866"/>
          <w:sz w:val="22"/>
        </w:rPr>
        <w:t>Category tailwinds remain strong for on! PLUS. The category's early-stage nature means share gains are more achievable than in mature categories.</w:t>
      </w:r>
    </w:p>
    <w:p>
      <w:pPr>
        <w:pStyle w:val="ListBullet"/>
        <w:ind w:left="360" w:hanging="360"/>
      </w:pPr>
      <w:r>
        <w:rPr>
          <w:rFonts w:ascii="Calibri" w:hAnsi="Calibri"/>
          <w:b/>
          <w:color w:val="525866"/>
          <w:sz w:val="22"/>
        </w:rPr>
        <w:t>FDA's approach to the pouch category is creating a 'regulated pathway to the market'</w:t>
      </w:r>
      <w:r>
        <w:rPr>
          <w:rFonts w:ascii="Calibri" w:hAnsi="Calibri"/>
          <w:color w:val="525866"/>
          <w:sz w:val="22"/>
        </w:rPr>
        <w:t xml:space="preserve">, which 'takes the oxygen out for any attempts to supply the market from illicit sources.' PM views FDA guidelines as a 'net positive' for the category. </w:t>
      </w:r>
      <w:r>
        <w:rPr>
          <w:rFonts w:ascii="Calibri" w:hAnsi="Calibri"/>
          <w:b/>
          <w:color w:val="525866"/>
          <w:sz w:val="22"/>
        </w:rPr>
        <w:t xml:space="preserve">MO Read-Through: </w:t>
      </w:r>
      <w:r>
        <w:rPr>
          <w:rFonts w:ascii="Calibri" w:hAnsi="Calibri"/>
          <w:color w:val="525866"/>
          <w:sz w:val="22"/>
        </w:rPr>
        <w:t>Consistent with MO's Q1 commentary on illicit e-vapor enforcement benefiting combustible volumes. The regulatory environment is broadly supportive for authorized pouch products like on! PLUS.</w:t>
      </w:r>
    </w:p>
    <w:p>
      <w:pPr>
        <w:pStyle w:val="ListBullet"/>
        <w:ind w:left="360" w:hanging="360"/>
      </w:pPr>
      <w:r>
        <w:rPr>
          <w:rFonts w:ascii="Calibri" w:hAnsi="Calibri"/>
          <w:b/>
          <w:color w:val="525866"/>
          <w:sz w:val="22"/>
        </w:rPr>
        <w:t>Combustible pricing 'stays intact'</w:t>
      </w:r>
      <w:r>
        <w:rPr>
          <w:rFonts w:ascii="Calibri" w:hAnsi="Calibri"/>
          <w:color w:val="525866"/>
          <w:sz w:val="22"/>
        </w:rPr>
        <w:t xml:space="preserve"> with 'still room for further margin enhancements in combustible products.' </w:t>
      </w:r>
      <w:r>
        <w:rPr>
          <w:rFonts w:ascii="Calibri" w:hAnsi="Calibri"/>
          <w:b/>
          <w:color w:val="525866"/>
          <w:sz w:val="22"/>
        </w:rPr>
        <w:t xml:space="preserve">MO Read-Through: </w:t>
      </w:r>
      <w:r>
        <w:rPr>
          <w:rFonts w:ascii="Calibri" w:hAnsi="Calibri"/>
          <w:color w:val="525866"/>
          <w:sz w:val="22"/>
        </w:rPr>
        <w:t>Supports MO's own pricing power narrative in the smokeable segment. If PM is still finding room for combustible margin expansion internationally, MO's domestic pricing power thesis remains credible.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Two directors sold modest amounts of stock in late May 2026 — both appear to be routine, discretionary open-market sales with no 10b5-1 plan designation. </w:t>
      </w:r>
      <w:r>
        <w:rPr>
          <w:rFonts w:ascii="Calibri" w:hAnsi="Calibri"/>
          <w:b/>
          <w:color w:val="525866"/>
          <w:sz w:val="22"/>
        </w:rPr>
        <w:t>No open-market purchases were recorded since the Q1 2026 earnings date</w:t>
      </w:r>
      <w:r>
        <w:rPr>
          <w:rFonts w:ascii="Calibri" w:hAnsi="Calibri"/>
          <w:color w:val="525866"/>
          <w:sz w:val="22"/>
        </w:rPr>
        <w:t>; the absence of insider buying is not alarming given the stock's strong post-earnings move, but the lack of conviction buying is worth noting.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Debra J. Kelly Ennis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5,790 shares</w:t>
            </w:r>
          </w:p>
        </w:tc>
        <w:tc>
          <w:tcPr>
            <w:tcW w:type="dxa" w:w="1440"/>
          </w:tcPr>
          <w:p>
            <w:r>
              <w:rPr>
                <w:rFonts w:ascii="Calibri" w:hAnsi="Calibri"/>
                <w:sz w:val="22"/>
              </w:rPr>
              <w:t>May 26, 2026</w:t>
            </w:r>
          </w:p>
        </w:tc>
        <w:tc>
          <w:tcPr>
            <w:tcW w:type="dxa" w:w="1440"/>
          </w:tcPr>
          <w:p>
            <w:r>
              <w:rPr>
                <w:rFonts w:ascii="Calibri" w:hAnsi="Calibri"/>
                <w:sz w:val="22"/>
              </w:rPr>
              <w:t>Discretionary sale (no 10b5-1 plan). Retained 73,809 shares post-transaction. Filed May 28, 2026.</w:t>
            </w:r>
          </w:p>
        </w:tc>
      </w:tr>
      <w:tr>
        <w:tc>
          <w:tcPr>
            <w:tcW w:type="dxa" w:w="1440"/>
          </w:tcPr>
          <w:p>
            <w:r>
              <w:rPr>
                <w:rFonts w:ascii="Calibri" w:hAnsi="Calibri"/>
                <w:sz w:val="22"/>
              </w:rPr>
              <w:t>Ellen R. Strahlman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2,000 shares</w:t>
            </w:r>
          </w:p>
        </w:tc>
        <w:tc>
          <w:tcPr>
            <w:tcW w:type="dxa" w:w="1440"/>
          </w:tcPr>
          <w:p>
            <w:r>
              <w:rPr>
                <w:rFonts w:ascii="Calibri" w:hAnsi="Calibri"/>
                <w:sz w:val="22"/>
              </w:rPr>
              <w:t>May 26, 2026</w:t>
            </w:r>
          </w:p>
        </w:tc>
        <w:tc>
          <w:tcPr>
            <w:tcW w:type="dxa" w:w="1440"/>
          </w:tcPr>
          <w:p>
            <w:r>
              <w:rPr>
                <w:rFonts w:ascii="Calibri" w:hAnsi="Calibri"/>
                <w:sz w:val="22"/>
              </w:rPr>
              <w:t>Discretionary sale (no 10b5-1 plan). Retained 25,102 shares post-transaction. Filed May 28, 2026.</w:t>
            </w:r>
          </w:p>
        </w:tc>
      </w:tr>
    </w:tbl>
    <w:p>
      <w:r>
        <w:rPr>
          <w:rFonts w:ascii="Calibri" w:hAnsi="Calibri"/>
          <w:color w:val="525866"/>
          <w:sz w:val="22"/>
        </w:rPr>
        <w:t>Both sales occurred on the same date (May 26, 2026) and were filed simultaneously on May 28, 2026. The sales are small relative to each director's remaining holdings (Kelly Ennis retained 93% of her position; Strahlman retained 93% of her position) and occurred approximately 3.5 weeks after the Q1 2026 earnings beat, which is a common window for discretionary sales following a strong earnings-driven price move. No executive-level (CEO, CFO, COO) transactions were recorded in the period. The new CEO (Sal Mancuso) and CFO (Heather Newman) have not yet filed any open-market transactions since their appointments, which is typical for newly appointed executives in the early months of their tenure.</w:t>
      </w:r>
    </w:p>
    <w:p>
      <w:r>
        <w:rPr>
          <w:rFonts w:ascii="Calibri" w:hAnsi="Calibri"/>
          <w:i/>
          <w:color w:val="525866"/>
          <w:sz w:val="22"/>
        </w:rPr>
        <w:t>Source: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