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o-earnings-predictions--2026-07-30"/>
    <w:p>
      <w:pPr>
        <w:pStyle w:val="Heading1"/>
      </w:pPr>
      <w:r>
        <w:t xml:space="preserve">MO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~$1.52 vs. cons $1.495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Smokeable cigarette sticks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~15.05bn vs. cons 15.15bn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Marlboro retail 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~38.9% vs. cons 39.06%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diluted EPS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5.56</m:t>
              </m:r>
              <m:r>
                <m:rPr>
                  <m:sty m:val="p"/>
                </m:rPr>
                <m:t>−</m:t>
              </m:r>
            </m:oMath>
            <w:r>
              <w:t xml:space="preserve">5.72; midpoint $5.64 vs. cons $5.715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(FADE)</w:t>
            </w:r>
          </w:p>
        </w:tc>
        <w:tc>
          <w:tcPr/>
          <w:p>
            <w:pPr>
              <w:pStyle w:val="Compact"/>
            </w:pPr>
            <w:r>
              <w:t xml:space="preserve">FADE — positive print but forward bar remains unresolved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2026-08-01T02:04:54Z</dcterms:created>
  <dcterms:modified xsi:type="dcterms:W3CDTF">2026-08-01T02:04:54Z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