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Altria Group, Inc. (MO)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Altria Group, Inc.</w:t>
            </w:r>
          </w:p>
        </w:tc>
      </w:tr>
      <w:tr>
        <w:tc>
          <w:tcPr>
            <w:tcW w:type="dxa" w:w="4320"/>
          </w:tcPr>
          <w:p>
            <w:r>
              <w:rPr>
                <w:rFonts w:ascii="Calibri" w:hAnsi="Calibri"/>
                <w:b/>
                <w:sz w:val="22"/>
              </w:rPr>
              <w:t>Ticker</w:t>
            </w:r>
          </w:p>
        </w:tc>
        <w:tc>
          <w:tcPr>
            <w:tcW w:type="dxa" w:w="4320"/>
          </w:tcPr>
          <w:p>
            <w:r>
              <w:rPr>
                <w:rFonts w:ascii="Calibri" w:hAnsi="Calibri"/>
                <w:sz w:val="22"/>
              </w:rPr>
              <w:t>MO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9:00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sits at a beatable bar on EPS, but the single biggest swing factor is whether cigarette industry volume declines continue to moderate or re-accelerate amid persistent macro pressure on value-sensitive smokers.</w:t>
      </w:r>
    </w:p>
    <w:p>
      <w:r>
        <w:rPr>
          <w:rFonts w:ascii="Calibri" w:hAnsi="Calibri"/>
          <w:color w:val="525866"/>
          <w:sz w:val="22"/>
        </w:rPr>
        <w:t xml:space="preserve">Heading into Q2 2026, the bar looks achievable: consensus adjusted diluted EPS of </w:t>
      </w:r>
      <w:r>
        <w:rPr>
          <w:rFonts w:ascii="Calibri" w:hAnsi="Calibri"/>
          <w:b/>
          <w:color w:val="525866"/>
          <w:sz w:val="22"/>
        </w:rPr>
        <w:t>$1.49</w:t>
      </w:r>
      <w:r>
        <w:rPr>
          <w:rFonts w:ascii="Calibri" w:hAnsi="Calibri"/>
          <w:color w:val="525866"/>
          <w:sz w:val="22"/>
        </w:rPr>
        <w:t xml:space="preserve"> represents a ~3.5% step-up from Q1's $1.32 actual and sits comfortably within the reaffirmed full-year guidance range of $5.56–$5.72. Management's posture on the April 30 call was measured confidence — they reaffirmed guidance rather than raising it, citing macro uncertainty around value-sensitive smokers and elevated gas prices, but shifted phasing language from "H2-weighted" to "more balanced," a subtle but meaningful upgrade to near-term expectations. Estimate revisions have been constructive since the Q1 print: Q2 EPS consensus has drifted from $1.48 to $1.49 and FY 2026 from $5.70 to $5.71, suggesting the street is modestly nudging numbers higher without getting ahead of itself. The stock has rallied roughly </w:t>
      </w:r>
      <w:r>
        <w:rPr>
          <w:rFonts w:ascii="Calibri" w:hAnsi="Calibri"/>
          <w:b/>
          <w:color w:val="525866"/>
          <w:sz w:val="22"/>
        </w:rPr>
        <w:t>+3.1%</w:t>
      </w:r>
      <w:r>
        <w:rPr>
          <w:rFonts w:ascii="Calibri" w:hAnsi="Calibri"/>
          <w:color w:val="525866"/>
          <w:sz w:val="22"/>
        </w:rPr>
        <w:t xml:space="preserve"> since the April 30 earnings date (MO: $72.65 → $74.82 as of July 28), outperforming XLP (+3.3%) and broadly in line with SPY (+3.1%), implying the market has priced in a solid but not spectacular print. The key wildcard is the </w:t>
      </w:r>
      <w:r>
        <w:rPr>
          <w:rFonts w:ascii="Calibri" w:hAnsi="Calibri"/>
          <w:b/>
          <w:color w:val="525866"/>
          <w:sz w:val="22"/>
        </w:rPr>
        <w:t>cigarette industry volume trajectory</w:t>
      </w:r>
      <w:r>
        <w:rPr>
          <w:rFonts w:ascii="Calibri" w:hAnsi="Calibri"/>
          <w:color w:val="525866"/>
          <w:sz w:val="22"/>
        </w:rPr>
        <w:t>: Q1 marked the fourth consecutive quarter of sequential year-over-year moderation in declines (industry down ~5% adjusted), driven by reduced cross-category movement from illicit e-vapor; any re-acceleration — whether from macro deterioration or renewed illicit product supply — would pressure both volumes and Marlboro share and could disappoint a market that has begun to price in a more stable combustible runway.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EPS of $1.49 is a modestly low bar given Q1's $1.32 beat and the phasing shift to a more balanced H1/H2; the bigger swing factor is cigarette volume and Marlboro share, where the street is modeling continued sequential improvement that may or may not materialize given macro headwinds.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Adj. Diluted EPS ($)</w:t>
            </w:r>
          </w:p>
        </w:tc>
        <w:tc>
          <w:tcPr>
            <w:tcW w:type="dxa" w:w="1234"/>
          </w:tcPr>
          <w:p>
            <w:r>
              <w:rPr>
                <w:rFonts w:ascii="Calibri" w:hAnsi="Calibri"/>
                <w:sz w:val="22"/>
              </w:rPr>
              <w:t>$1.32</w:t>
            </w:r>
          </w:p>
        </w:tc>
        <w:tc>
          <w:tcPr>
            <w:tcW w:type="dxa" w:w="1234"/>
          </w:tcPr>
          <w:p>
            <w:r>
              <w:rPr>
                <w:rFonts w:ascii="Calibri" w:hAnsi="Calibri"/>
                <w:sz w:val="22"/>
              </w:rPr>
              <w:t>$1.44</w:t>
            </w:r>
          </w:p>
        </w:tc>
        <w:tc>
          <w:tcPr>
            <w:tcW w:type="dxa" w:w="1234"/>
          </w:tcPr>
          <w:p>
            <w:r>
              <w:rPr>
                <w:rFonts w:ascii="Calibri" w:hAnsi="Calibri"/>
                <w:sz w:val="22"/>
              </w:rPr>
              <w:t>$1.49</w:t>
            </w:r>
          </w:p>
        </w:tc>
        <w:tc>
          <w:tcPr>
            <w:tcW w:type="dxa" w:w="1234"/>
          </w:tcPr>
          <w:p>
            <w:r>
              <w:rPr>
                <w:rFonts w:ascii="Calibri" w:hAnsi="Calibri"/>
                <w:sz w:val="22"/>
              </w:rPr>
              <w:t>+3.5% YoY</w:t>
            </w:r>
          </w:p>
        </w:tc>
        <w:tc>
          <w:tcPr>
            <w:tcW w:type="dxa" w:w="1234"/>
          </w:tcPr>
          <w:p>
            <w:r>
              <w:rPr>
                <w:rFonts w:ascii="Calibri" w:hAnsi="Calibri"/>
                <w:sz w:val="22"/>
              </w:rPr>
              <w:t>$5.56–$5.72 (FY)</w:t>
            </w:r>
          </w:p>
        </w:tc>
        <w:tc>
          <w:tcPr>
            <w:tcW w:type="dxa" w:w="1234"/>
          </w:tcPr>
          <w:p>
            <w:r>
              <w:rPr>
                <w:rFonts w:ascii="Calibri" w:hAnsi="Calibri"/>
                <w:sz w:val="22"/>
              </w:rPr>
              <w:t>Consensus FY $5.71 vs. midpoint $5.64: +1.2%</w:t>
            </w:r>
          </w:p>
        </w:tc>
      </w:tr>
      <w:tr>
        <w:tc>
          <w:tcPr>
            <w:tcW w:type="dxa" w:w="1234"/>
          </w:tcPr>
          <w:p>
            <w:r>
              <w:rPr>
                <w:rFonts w:ascii="Calibri" w:hAnsi="Calibri"/>
                <w:sz w:val="22"/>
              </w:rPr>
              <w:t>Net Revenue (ex-excise taxes, $B)</w:t>
            </w:r>
          </w:p>
        </w:tc>
        <w:tc>
          <w:tcPr>
            <w:tcW w:type="dxa" w:w="1234"/>
          </w:tcPr>
          <w:p>
            <w:r>
              <w:rPr>
                <w:rFonts w:ascii="Calibri" w:hAnsi="Calibri"/>
                <w:sz w:val="22"/>
              </w:rPr>
              <w:t>$4.758B</w:t>
            </w:r>
          </w:p>
        </w:tc>
        <w:tc>
          <w:tcPr>
            <w:tcW w:type="dxa" w:w="1234"/>
          </w:tcPr>
          <w:p>
            <w:r>
              <w:rPr>
                <w:rFonts w:ascii="Calibri" w:hAnsi="Calibri"/>
                <w:sz w:val="22"/>
              </w:rPr>
              <w:t>$5.290B</w:t>
            </w:r>
          </w:p>
        </w:tc>
        <w:tc>
          <w:tcPr>
            <w:tcW w:type="dxa" w:w="1234"/>
          </w:tcPr>
          <w:p>
            <w:r>
              <w:rPr>
                <w:rFonts w:ascii="Calibri" w:hAnsi="Calibri"/>
                <w:sz w:val="22"/>
              </w:rPr>
              <w:t>$5.350B</w:t>
            </w:r>
          </w:p>
        </w:tc>
        <w:tc>
          <w:tcPr>
            <w:tcW w:type="dxa" w:w="1234"/>
          </w:tcPr>
          <w:p>
            <w:r>
              <w:rPr>
                <w:rFonts w:ascii="Calibri" w:hAnsi="Calibri"/>
                <w:sz w:val="22"/>
              </w:rPr>
              <w:t>+1.1% YoY</w:t>
            </w:r>
          </w:p>
        </w:tc>
        <w:tc>
          <w:tcPr>
            <w:tcW w:type="dxa" w:w="1234"/>
          </w:tcPr>
          <w:p>
            <w:r>
              <w:rPr>
                <w:rFonts w:ascii="Calibri" w:hAnsi="Calibri"/>
                <w:sz w:val="22"/>
              </w:rPr>
              <w:t>N/A (no quarterly rev. guidance)</w:t>
            </w:r>
          </w:p>
        </w:tc>
        <w:tc>
          <w:tcPr>
            <w:tcW w:type="dxa" w:w="1234"/>
          </w:tcPr>
          <w:p>
            <w:r>
              <w:rPr>
                <w:rFonts w:ascii="Calibri" w:hAnsi="Calibri"/>
                <w:sz w:val="22"/>
              </w:rPr>
              <w:t>N/A</w:t>
            </w:r>
          </w:p>
        </w:tc>
      </w:tr>
      <w:tr>
        <w:tc>
          <w:tcPr>
            <w:tcW w:type="dxa" w:w="1234"/>
          </w:tcPr>
          <w:p>
            <w:r>
              <w:rPr>
                <w:rFonts w:ascii="Calibri" w:hAnsi="Calibri"/>
                <w:sz w:val="22"/>
              </w:rPr>
              <w:t>Smokeable Net Revenue ($B)</w:t>
            </w:r>
          </w:p>
        </w:tc>
        <w:tc>
          <w:tcPr>
            <w:tcW w:type="dxa" w:w="1234"/>
          </w:tcPr>
          <w:p>
            <w:r>
              <w:rPr>
                <w:rFonts w:ascii="Calibri" w:hAnsi="Calibri"/>
                <w:sz w:val="22"/>
              </w:rPr>
              <w:t>$4.110B</w:t>
            </w:r>
          </w:p>
        </w:tc>
        <w:tc>
          <w:tcPr>
            <w:tcW w:type="dxa" w:w="1234"/>
          </w:tcPr>
          <w:p>
            <w:r>
              <w:rPr>
                <w:rFonts w:ascii="Calibri" w:hAnsi="Calibri"/>
                <w:sz w:val="22"/>
              </w:rPr>
              <w:t>$4.570B</w:t>
            </w:r>
          </w:p>
        </w:tc>
        <w:tc>
          <w:tcPr>
            <w:tcW w:type="dxa" w:w="1234"/>
          </w:tcPr>
          <w:p>
            <w:r>
              <w:rPr>
                <w:rFonts w:ascii="Calibri" w:hAnsi="Calibri"/>
                <w:sz w:val="22"/>
              </w:rPr>
              <w:t>$4.624B</w:t>
            </w:r>
          </w:p>
        </w:tc>
        <w:tc>
          <w:tcPr>
            <w:tcW w:type="dxa" w:w="1234"/>
          </w:tcPr>
          <w:p>
            <w:r>
              <w:rPr>
                <w:rFonts w:ascii="Calibri" w:hAnsi="Calibri"/>
                <w:sz w:val="22"/>
              </w:rPr>
              <w:t>+1.2%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Cigarette Shipment Volume (B sticks)</w:t>
            </w:r>
          </w:p>
        </w:tc>
        <w:tc>
          <w:tcPr>
            <w:tcW w:type="dxa" w:w="1234"/>
          </w:tcPr>
          <w:p>
            <w:r>
              <w:rPr>
                <w:rFonts w:ascii="Calibri" w:hAnsi="Calibri"/>
                <w:sz w:val="22"/>
              </w:rPr>
              <w:t>13.867B</w:t>
            </w:r>
          </w:p>
        </w:tc>
        <w:tc>
          <w:tcPr>
            <w:tcW w:type="dxa" w:w="1234"/>
          </w:tcPr>
          <w:p>
            <w:r>
              <w:rPr>
                <w:rFonts w:ascii="Calibri" w:hAnsi="Calibri"/>
                <w:sz w:val="22"/>
              </w:rPr>
              <w:t>16.066B</w:t>
            </w:r>
          </w:p>
        </w:tc>
        <w:tc>
          <w:tcPr>
            <w:tcW w:type="dxa" w:w="1234"/>
          </w:tcPr>
          <w:p>
            <w:r>
              <w:rPr>
                <w:rFonts w:ascii="Calibri" w:hAnsi="Calibri"/>
                <w:sz w:val="22"/>
              </w:rPr>
              <w:t>15.150B</w:t>
            </w:r>
          </w:p>
        </w:tc>
        <w:tc>
          <w:tcPr>
            <w:tcW w:type="dxa" w:w="1234"/>
          </w:tcPr>
          <w:p>
            <w:r>
              <w:rPr>
                <w:rFonts w:ascii="Calibri" w:hAnsi="Calibri"/>
                <w:sz w:val="22"/>
              </w:rPr>
              <w:t>-5.7%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Marlboro Retail Share (total cig. category, %)</w:t>
            </w:r>
          </w:p>
        </w:tc>
        <w:tc>
          <w:tcPr>
            <w:tcW w:type="dxa" w:w="1234"/>
          </w:tcPr>
          <w:p>
            <w:r>
              <w:rPr>
                <w:rFonts w:ascii="Calibri" w:hAnsi="Calibri"/>
                <w:sz w:val="22"/>
              </w:rPr>
              <w:t>39.7%</w:t>
            </w:r>
          </w:p>
        </w:tc>
        <w:tc>
          <w:tcPr>
            <w:tcW w:type="dxa" w:w="1234"/>
          </w:tcPr>
          <w:p>
            <w:r>
              <w:rPr>
                <w:rFonts w:ascii="Calibri" w:hAnsi="Calibri"/>
                <w:sz w:val="22"/>
              </w:rPr>
              <w:t>41.0%</w:t>
            </w:r>
          </w:p>
        </w:tc>
        <w:tc>
          <w:tcPr>
            <w:tcW w:type="dxa" w:w="1234"/>
          </w:tcPr>
          <w:p>
            <w:r>
              <w:rPr>
                <w:rFonts w:ascii="Calibri" w:hAnsi="Calibri"/>
                <w:sz w:val="22"/>
              </w:rPr>
              <w:t>39.1%</w:t>
            </w:r>
          </w:p>
        </w:tc>
        <w:tc>
          <w:tcPr>
            <w:tcW w:type="dxa" w:w="1234"/>
          </w:tcPr>
          <w:p>
            <w:r>
              <w:rPr>
                <w:rFonts w:ascii="Calibri" w:hAnsi="Calibri"/>
                <w:sz w:val="22"/>
              </w:rPr>
              <w:t>-1.9 pp YoY (est.)</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on! Retail Share (total oral tobacco, %)</w:t>
            </w:r>
          </w:p>
        </w:tc>
        <w:tc>
          <w:tcPr>
            <w:tcW w:type="dxa" w:w="1234"/>
          </w:tcPr>
          <w:p>
            <w:r>
              <w:rPr>
                <w:rFonts w:ascii="Calibri" w:hAnsi="Calibri"/>
                <w:sz w:val="22"/>
              </w:rPr>
              <w:t>7.8%</w:t>
            </w:r>
          </w:p>
        </w:tc>
        <w:tc>
          <w:tcPr>
            <w:tcW w:type="dxa" w:w="1234"/>
          </w:tcPr>
          <w:p>
            <w:r>
              <w:rPr>
                <w:rFonts w:ascii="Calibri" w:hAnsi="Calibri"/>
                <w:sz w:val="22"/>
              </w:rPr>
              <w:t>8.7%</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Sources: Visible Alpha consensus and actuals data for EPS, Net Revenue, Smokeable Net Revenue, Cigarette Sticks, and Marlboro Share. Q1 2026 actuals from Altria Q1 2026 Earnings Release (April 30, 2026). FY 2026 guidance from Q1 2026 earnings call. on! retail share from Q1 2026 earnings call transcript; no VA consensus available for this KPI.</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 Diluted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$1.32</w:t>
            </w:r>
          </w:p>
        </w:tc>
        <w:tc>
          <w:tcPr>
            <w:tcW w:type="dxa" w:w="1728"/>
          </w:tcPr>
          <w:p>
            <w:r>
              <w:rPr>
                <w:rFonts w:ascii="Calibri" w:hAnsi="Calibri"/>
                <w:sz w:val="22"/>
              </w:rPr>
              <w:t>$1.25</w:t>
            </w:r>
          </w:p>
        </w:tc>
        <w:tc>
          <w:tcPr>
            <w:tcW w:type="dxa" w:w="1728"/>
          </w:tcPr>
          <w:p>
            <w:r>
              <w:rPr>
                <w:rFonts w:ascii="Calibri" w:hAnsi="Calibri"/>
                <w:b/>
                <w:color w:val="30A46C"/>
                <w:sz w:val="22"/>
              </w:rPr>
              <w:t>+5.6%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$1.30</w:t>
            </w:r>
          </w:p>
        </w:tc>
        <w:tc>
          <w:tcPr>
            <w:tcW w:type="dxa" w:w="1728"/>
          </w:tcPr>
          <w:p>
            <w:r>
              <w:rPr>
                <w:rFonts w:ascii="Calibri" w:hAnsi="Calibri"/>
                <w:sz w:val="22"/>
              </w:rPr>
              <w:t>$1.31</w:t>
            </w:r>
          </w:p>
        </w:tc>
        <w:tc>
          <w:tcPr>
            <w:tcW w:type="dxa" w:w="1728"/>
          </w:tcPr>
          <w:p>
            <w:r>
              <w:rPr>
                <w:rFonts w:ascii="Calibri" w:hAnsi="Calibri"/>
                <w:b/>
                <w:color w:val="E5484D"/>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$1.45</w:t>
            </w:r>
          </w:p>
        </w:tc>
        <w:tc>
          <w:tcPr>
            <w:tcW w:type="dxa" w:w="1728"/>
          </w:tcPr>
          <w:p>
            <w:r>
              <w:rPr>
                <w:rFonts w:ascii="Calibri" w:hAnsi="Calibri"/>
                <w:sz w:val="22"/>
              </w:rPr>
              <w:t>$1.45</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$1.44</w:t>
            </w:r>
          </w:p>
        </w:tc>
        <w:tc>
          <w:tcPr>
            <w:tcW w:type="dxa" w:w="1728"/>
          </w:tcPr>
          <w:p>
            <w:r>
              <w:rPr>
                <w:rFonts w:ascii="Calibri" w:hAnsi="Calibri"/>
                <w:sz w:val="22"/>
              </w:rPr>
              <w:t>$1.39</w:t>
            </w:r>
          </w:p>
        </w:tc>
        <w:tc>
          <w:tcPr>
            <w:tcW w:type="dxa" w:w="1728"/>
          </w:tcPr>
          <w:p>
            <w:r>
              <w:rPr>
                <w:rFonts w:ascii="Calibri" w:hAnsi="Calibri"/>
                <w:b/>
                <w:color w:val="30A46C"/>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$1.23</w:t>
            </w:r>
          </w:p>
        </w:tc>
        <w:tc>
          <w:tcPr>
            <w:tcW w:type="dxa" w:w="1728"/>
          </w:tcPr>
          <w:p>
            <w:r>
              <w:rPr>
                <w:rFonts w:ascii="Calibri" w:hAnsi="Calibri"/>
                <w:sz w:val="22"/>
              </w:rPr>
              <w:t>$1.19</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$1.30</w:t>
            </w:r>
          </w:p>
        </w:tc>
        <w:tc>
          <w:tcPr>
            <w:tcW w:type="dxa" w:w="1728"/>
          </w:tcPr>
          <w:p>
            <w:r>
              <w:rPr>
                <w:rFonts w:ascii="Calibri" w:hAnsi="Calibri"/>
                <w:sz w:val="22"/>
              </w:rPr>
              <w:t>$1.28</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$1.40</w:t>
            </w:r>
          </w:p>
        </w:tc>
        <w:tc>
          <w:tcPr>
            <w:tcW w:type="dxa" w:w="1728"/>
          </w:tcPr>
          <w:p>
            <w:r>
              <w:rPr>
                <w:rFonts w:ascii="Calibri" w:hAnsi="Calibri"/>
                <w:sz w:val="22"/>
              </w:rPr>
              <w:t>$1.36</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Net Revenue — ex-Excise Taxes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$4.758B</w:t>
            </w:r>
          </w:p>
        </w:tc>
        <w:tc>
          <w:tcPr>
            <w:tcW w:type="dxa" w:w="1728"/>
          </w:tcPr>
          <w:p>
            <w:r>
              <w:rPr>
                <w:rFonts w:ascii="Calibri" w:hAnsi="Calibri"/>
                <w:sz w:val="22"/>
              </w:rPr>
              <w:t>$4.575B</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$5.079B</w:t>
            </w:r>
          </w:p>
        </w:tc>
        <w:tc>
          <w:tcPr>
            <w:tcW w:type="dxa" w:w="1728"/>
          </w:tcPr>
          <w:p>
            <w:r>
              <w:rPr>
                <w:rFonts w:ascii="Calibri" w:hAnsi="Calibri"/>
                <w:sz w:val="22"/>
              </w:rPr>
              <w:t>$5.024B</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$5.251B</w:t>
            </w:r>
          </w:p>
        </w:tc>
        <w:tc>
          <w:tcPr>
            <w:tcW w:type="dxa" w:w="1728"/>
          </w:tcPr>
          <w:p>
            <w:r>
              <w:rPr>
                <w:rFonts w:ascii="Calibri" w:hAnsi="Calibri"/>
                <w:sz w:val="22"/>
              </w:rPr>
              <w:t>$5.321B</w:t>
            </w:r>
          </w:p>
        </w:tc>
        <w:tc>
          <w:tcPr>
            <w:tcW w:type="dxa" w:w="1728"/>
          </w:tcPr>
          <w:p>
            <w:r>
              <w:rPr>
                <w:rFonts w:ascii="Calibri" w:hAnsi="Calibri"/>
                <w:b/>
                <w:color w:val="E5484D"/>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$5.290B</w:t>
            </w:r>
          </w:p>
        </w:tc>
        <w:tc>
          <w:tcPr>
            <w:tcW w:type="dxa" w:w="1728"/>
          </w:tcPr>
          <w:p>
            <w:r>
              <w:rPr>
                <w:rFonts w:ascii="Calibri" w:hAnsi="Calibri"/>
                <w:sz w:val="22"/>
              </w:rPr>
              <w:t>$5.199B</w:t>
            </w:r>
          </w:p>
        </w:tc>
        <w:tc>
          <w:tcPr>
            <w:tcW w:type="dxa" w:w="1728"/>
          </w:tcPr>
          <w:p>
            <w:r>
              <w:rPr>
                <w:rFonts w:ascii="Calibri" w:hAnsi="Calibri"/>
                <w:b/>
                <w:color w:val="30A46C"/>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$4.519B</w:t>
            </w:r>
          </w:p>
        </w:tc>
        <w:tc>
          <w:tcPr>
            <w:tcW w:type="dxa" w:w="1728"/>
          </w:tcPr>
          <w:p>
            <w:r>
              <w:rPr>
                <w:rFonts w:ascii="Calibri" w:hAnsi="Calibri"/>
                <w:sz w:val="22"/>
              </w:rPr>
              <w:t>$4.635B</w:t>
            </w:r>
          </w:p>
        </w:tc>
        <w:tc>
          <w:tcPr>
            <w:tcW w:type="dxa" w:w="1728"/>
          </w:tcPr>
          <w:p>
            <w:r>
              <w:rPr>
                <w:rFonts w:ascii="Calibri" w:hAnsi="Calibri"/>
                <w:b/>
                <w:color w:val="E5484D"/>
                <w:sz w:val="22"/>
              </w:rPr>
              <w:t>-2.5%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$5.106B</w:t>
            </w:r>
          </w:p>
        </w:tc>
        <w:tc>
          <w:tcPr>
            <w:tcW w:type="dxa" w:w="1728"/>
          </w:tcPr>
          <w:p>
            <w:r>
              <w:rPr>
                <w:rFonts w:ascii="Calibri" w:hAnsi="Calibri"/>
                <w:sz w:val="22"/>
              </w:rPr>
              <w:t>$5.078B</w:t>
            </w:r>
          </w:p>
        </w:tc>
        <w:tc>
          <w:tcPr>
            <w:tcW w:type="dxa" w:w="1728"/>
          </w:tcPr>
          <w:p>
            <w:r>
              <w:rPr>
                <w:rFonts w:ascii="Calibri" w:hAnsi="Calibri"/>
                <w:b/>
                <w:color w:val="30A46C"/>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$5.344B</w:t>
            </w:r>
          </w:p>
        </w:tc>
        <w:tc>
          <w:tcPr>
            <w:tcW w:type="dxa" w:w="1728"/>
          </w:tcPr>
          <w:p>
            <w:r>
              <w:rPr>
                <w:rFonts w:ascii="Calibri" w:hAnsi="Calibri"/>
                <w:sz w:val="22"/>
              </w:rPr>
              <w:t>$5.334B</w:t>
            </w:r>
          </w:p>
        </w:tc>
        <w:tc>
          <w:tcPr>
            <w:tcW w:type="dxa" w:w="1728"/>
          </w:tcPr>
          <w:p>
            <w:r>
              <w:rPr>
                <w:rFonts w:ascii="Calibri" w:hAnsi="Calibri"/>
                <w:b/>
                <w:color w:val="30A46C"/>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MO has beaten adjusted EPS consensus in 6 of the last 7 reported quarters, with the lone miss (Q4 2025, -0.8%) a rounding-level shortfall; the consistent beat cadence on EPS reflects management's conservative guidance philosophy and strong pricing power in the smokeable segment. Revenue beats are less consistent, with two misses in the trailing seven quarters driven by volume softness.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EPS guidance of $5.56–$5.72 is unchanged since the April 30 Q1 earnings call; the only meaningful post-earnings development is the CEO/CFO transition effective May 14, which introduces modest execution uncertainty but no change to financial targets.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Diluted EPS</w:t>
            </w:r>
          </w:p>
        </w:tc>
        <w:tc>
          <w:tcPr>
            <w:tcW w:type="dxa" w:w="1728"/>
          </w:tcPr>
          <w:p>
            <w:r>
              <w:rPr>
                <w:rFonts w:ascii="Calibri" w:hAnsi="Calibri"/>
                <w:sz w:val="22"/>
              </w:rPr>
              <w:t>$5.56–$5.72 (+2.5% to +5.5% vs. $5.42 base)</w:t>
            </w:r>
          </w:p>
        </w:tc>
        <w:tc>
          <w:tcPr>
            <w:tcW w:type="dxa" w:w="1728"/>
          </w:tcPr>
          <w:p>
            <w:r>
              <w:rPr>
                <w:rFonts w:ascii="Calibri" w:hAnsi="Calibri"/>
                <w:sz w:val="22"/>
              </w:rPr>
              <w:t>— Unchanged</w:t>
            </w:r>
          </w:p>
        </w:tc>
        <w:tc>
          <w:tcPr>
            <w:tcW w:type="dxa" w:w="1728"/>
          </w:tcPr>
          <w:p>
            <w:r>
              <w:rPr>
                <w:rFonts w:ascii="Calibri" w:hAnsi="Calibri"/>
                <w:sz w:val="22"/>
              </w:rPr>
              <w:t>$5.71</w:t>
            </w:r>
          </w:p>
        </w:tc>
        <w:tc>
          <w:tcPr>
            <w:tcW w:type="dxa" w:w="1728"/>
          </w:tcPr>
          <w:p>
            <w:r>
              <w:rPr>
                <w:rFonts w:ascii="Calibri" w:hAnsi="Calibri"/>
                <w:sz w:val="22"/>
              </w:rPr>
              <w:t>Reaffirmed Apr 30; phasing shifted to more balanced H1/H2 vs. prior H2-weighted expectation. No post-earnings revision.</w:t>
            </w:r>
          </w:p>
        </w:tc>
      </w:tr>
      <w:tr>
        <w:tc>
          <w:tcPr>
            <w:tcW w:type="dxa" w:w="1728"/>
          </w:tcPr>
          <w:p>
            <w:r>
              <w:rPr>
                <w:rFonts w:ascii="Calibri" w:hAnsi="Calibri"/>
                <w:sz w:val="22"/>
              </w:rPr>
              <w:t>EPS Phasing (H1 vs. H2)</w:t>
            </w:r>
          </w:p>
        </w:tc>
        <w:tc>
          <w:tcPr>
            <w:tcW w:type="dxa" w:w="1728"/>
          </w:tcPr>
          <w:p>
            <w:r>
              <w:rPr>
                <w:rFonts w:ascii="Calibri" w:hAnsi="Calibri"/>
                <w:sz w:val="22"/>
              </w:rPr>
              <w:t>Now expected more balanced H1/H2 (upgraded from H2-weighted)</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Positive tone shift on Apr 30 driven by stronger-than-expected Q1 smokeable volumes.</w:t>
            </w:r>
          </w:p>
        </w:tc>
      </w:tr>
      <w:tr>
        <w:tc>
          <w:tcPr>
            <w:tcW w:type="dxa" w:w="1728"/>
          </w:tcPr>
          <w:p>
            <w:r>
              <w:rPr>
                <w:rFonts w:ascii="Calibri" w:hAnsi="Calibri"/>
                <w:sz w:val="22"/>
              </w:rPr>
              <w:t>Optimize &amp; Accelerate Savings</w:t>
            </w:r>
          </w:p>
        </w:tc>
        <w:tc>
          <w:tcPr>
            <w:tcW w:type="dxa" w:w="1728"/>
          </w:tcPr>
          <w:p>
            <w:r>
              <w:rPr>
                <w:rFonts w:ascii="Calibri" w:hAnsi="Calibri"/>
                <w:sz w:val="22"/>
              </w:rPr>
              <w:t>≥$600M in savings for reinvestment</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No update since Q1 call.</w:t>
            </w:r>
          </w:p>
        </w:tc>
      </w:tr>
      <w:tr>
        <w:tc>
          <w:tcPr>
            <w:tcW w:type="dxa" w:w="1728"/>
          </w:tcPr>
          <w:p>
            <w:r>
              <w:rPr>
                <w:rFonts w:ascii="Calibri" w:hAnsi="Calibri"/>
                <w:sz w:val="22"/>
              </w:rPr>
              <w:t>Share Repurchase Program</w:t>
            </w:r>
          </w:p>
        </w:tc>
        <w:tc>
          <w:tcPr>
            <w:tcW w:type="dxa" w:w="1728"/>
          </w:tcPr>
          <w:p>
            <w:r>
              <w:rPr>
                <w:rFonts w:ascii="Calibri" w:hAnsi="Calibri"/>
                <w:sz w:val="22"/>
              </w:rPr>
              <w:t>$720M remaining under $2B program (expires Dec 31, 2026)</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No post-earnings update. Pace of buybacks in Q2 will be a watch item.</w:t>
            </w:r>
          </w:p>
        </w:tc>
      </w:tr>
      <w:tr>
        <w:tc>
          <w:tcPr>
            <w:tcW w:type="dxa" w:w="1728"/>
          </w:tcPr>
          <w:p>
            <w:r>
              <w:rPr>
                <w:rFonts w:ascii="Calibri" w:hAnsi="Calibri"/>
                <w:sz w:val="22"/>
              </w:rPr>
              <w:t>Quarterly Dividend</w:t>
            </w:r>
          </w:p>
        </w:tc>
        <w:tc>
          <w:tcPr>
            <w:tcW w:type="dxa" w:w="1728"/>
          </w:tcPr>
          <w:p>
            <w:r>
              <w:rPr>
                <w:rFonts w:ascii="Calibri" w:hAnsi="Calibri"/>
                <w:sz w:val="22"/>
              </w:rPr>
              <w:t>$1.06/share (declared May 14, 2026; payable July 10, 2026)</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Dividend declared at Annual Meeting May 14, 2026. No change to rate.</w:t>
            </w:r>
          </w:p>
        </w:tc>
      </w:tr>
      <w:tr>
        <w:tc>
          <w:tcPr>
            <w:tcW w:type="dxa" w:w="1728"/>
          </w:tcPr>
          <w:p>
            <w:r>
              <w:rPr>
                <w:rFonts w:ascii="Calibri" w:hAnsi="Calibri"/>
                <w:sz w:val="22"/>
              </w:rPr>
              <w:t>CEO / CFO Leadership</w:t>
            </w:r>
          </w:p>
        </w:tc>
        <w:tc>
          <w:tcPr>
            <w:tcW w:type="dxa" w:w="1728"/>
          </w:tcPr>
          <w:p>
            <w:r>
              <w:rPr>
                <w:rFonts w:ascii="Calibri" w:hAnsi="Calibri"/>
                <w:sz w:val="22"/>
              </w:rPr>
              <w:t>Gifford retiring; Mancuso to CEO, Newman to CFO (effective May 14, 2026)</w:t>
            </w:r>
          </w:p>
        </w:tc>
        <w:tc>
          <w:tcPr>
            <w:tcW w:type="dxa" w:w="1728"/>
          </w:tcPr>
          <w:p>
            <w:r>
              <w:rPr>
                <w:rFonts w:ascii="Calibri" w:hAnsi="Calibri"/>
                <w:sz w:val="22"/>
              </w:rPr>
              <w:t>Effective May 14, 2026 — Transition complete</w:t>
            </w:r>
          </w:p>
        </w:tc>
        <w:tc>
          <w:tcPr>
            <w:tcW w:type="dxa" w:w="1728"/>
          </w:tcPr>
          <w:p>
            <w:r>
              <w:rPr>
                <w:rFonts w:ascii="Calibri" w:hAnsi="Calibri"/>
                <w:sz w:val="22"/>
              </w:rPr>
              <w:t>N/A</w:t>
            </w:r>
          </w:p>
        </w:tc>
        <w:tc>
          <w:tcPr>
            <w:tcW w:type="dxa" w:w="1728"/>
          </w:tcPr>
          <w:p>
            <w:r>
              <w:rPr>
                <w:rFonts w:ascii="Calibri" w:hAnsi="Calibri"/>
                <w:sz w:val="22"/>
              </w:rPr>
              <w:t>Gifford consulting through Dec 31, 2026 at $250K/month. First earnings call under new CEO Mancuso.</w:t>
            </w:r>
          </w:p>
        </w:tc>
      </w:tr>
      <w:tr>
        <w:tc>
          <w:tcPr>
            <w:tcW w:type="dxa" w:w="1728"/>
          </w:tcPr>
          <w:p>
            <w:r>
              <w:rPr>
                <w:rFonts w:ascii="Calibri" w:hAnsi="Calibri"/>
                <w:sz w:val="22"/>
              </w:rPr>
              <w:t>NJOY ACE Return</w:t>
            </w:r>
          </w:p>
        </w:tc>
        <w:tc>
          <w:tcPr>
            <w:tcW w:type="dxa" w:w="1728"/>
          </w:tcPr>
          <w:p>
            <w:r>
              <w:rPr>
                <w:rFonts w:ascii="Calibri" w:hAnsi="Calibri"/>
                <w:sz w:val="22"/>
              </w:rPr>
              <w:t>Not expected to return to marketplace in 2026</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ITC exclusion order still in effect; management maintaining disciplined re-entry posture.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 Q2 EPS up ~$0.01 and FY EPS up ~$0.01 — tracking guidance rather than diverging from it; the gap between consensus ($5.71) and the guidance midpoint ($5.64) is a slim +1.2% cushion, suggesting the street is not materially ahead of management.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Diluted EPS — Q2 2026</w:t>
            </w:r>
          </w:p>
        </w:tc>
        <w:tc>
          <w:tcPr>
            <w:tcW w:type="dxa" w:w="1080"/>
          </w:tcPr>
          <w:p>
            <w:r>
              <w:rPr>
                <w:rFonts w:ascii="Calibri" w:hAnsi="Calibri"/>
                <w:sz w:val="22"/>
              </w:rPr>
              <w:t>$1.488</w:t>
            </w:r>
          </w:p>
        </w:tc>
        <w:tc>
          <w:tcPr>
            <w:tcW w:type="dxa" w:w="1080"/>
          </w:tcPr>
          <w:p>
            <w:r>
              <w:rPr>
                <w:rFonts w:ascii="Calibri" w:hAnsi="Calibri"/>
                <w:sz w:val="22"/>
              </w:rPr>
              <w:t>$1.495</w:t>
            </w:r>
          </w:p>
        </w:tc>
        <w:tc>
          <w:tcPr>
            <w:tcW w:type="dxa" w:w="1080"/>
          </w:tcPr>
          <w:p>
            <w:r>
              <w:rPr>
                <w:rFonts w:ascii="Calibri" w:hAnsi="Calibri"/>
                <w:sz w:val="22"/>
              </w:rPr>
              <w:t>+0.5%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Diluted EPS — FY 2026</w:t>
            </w:r>
          </w:p>
        </w:tc>
        <w:tc>
          <w:tcPr>
            <w:tcW w:type="dxa" w:w="1080"/>
          </w:tcPr>
          <w:p>
            <w:r>
              <w:rPr>
                <w:rFonts w:ascii="Calibri" w:hAnsi="Calibri"/>
                <w:sz w:val="22"/>
              </w:rPr>
              <w:t>$5.708</w:t>
            </w:r>
          </w:p>
        </w:tc>
        <w:tc>
          <w:tcPr>
            <w:tcW w:type="dxa" w:w="1080"/>
          </w:tcPr>
          <w:p>
            <w:r>
              <w:rPr>
                <w:rFonts w:ascii="Calibri" w:hAnsi="Calibri"/>
                <w:sz w:val="22"/>
              </w:rPr>
              <w:t>$5.715</w:t>
            </w:r>
          </w:p>
        </w:tc>
        <w:tc>
          <w:tcPr>
            <w:tcW w:type="dxa" w:w="1080"/>
          </w:tcPr>
          <w:p>
            <w:r>
              <w:rPr>
                <w:rFonts w:ascii="Calibri" w:hAnsi="Calibri"/>
                <w:sz w:val="22"/>
              </w:rPr>
              <w:t>+0.1%</w:t>
            </w:r>
          </w:p>
        </w:tc>
        <w:tc>
          <w:tcPr>
            <w:tcW w:type="dxa" w:w="1080"/>
          </w:tcPr>
          <w:p>
            <w:r>
              <w:rPr>
                <w:rFonts w:ascii="Calibri" w:hAnsi="Calibri"/>
                <w:sz w:val="22"/>
              </w:rPr>
              <w:t>$5.56–$5.72 (midpoint $5.64)</w:t>
            </w:r>
          </w:p>
        </w:tc>
        <w:tc>
          <w:tcPr>
            <w:tcW w:type="dxa" w:w="1080"/>
          </w:tcPr>
          <w:p>
            <w:r>
              <w:rPr>
                <w:rFonts w:ascii="Calibri" w:hAnsi="Calibri"/>
                <w:sz w:val="22"/>
              </w:rPr>
              <w:t>$5.56–$5.72 (unchanged)</w:t>
            </w:r>
          </w:p>
        </w:tc>
        <w:tc>
          <w:tcPr>
            <w:tcW w:type="dxa" w:w="1080"/>
          </w:tcPr>
          <w:p>
            <w:r>
              <w:rPr>
                <w:rFonts w:ascii="Calibri" w:hAnsi="Calibri"/>
                <w:sz w:val="22"/>
              </w:rPr>
              <w:t>0%</w:t>
            </w:r>
          </w:p>
        </w:tc>
        <w:tc>
          <w:tcPr>
            <w:tcW w:type="dxa" w:w="1080"/>
          </w:tcPr>
          <w:p>
            <w:r>
              <w:rPr>
                <w:rFonts w:ascii="Calibri" w:hAnsi="Calibri"/>
                <w:sz w:val="22"/>
              </w:rPr>
              <w:t>+1.2% above midpoint</w:t>
            </w:r>
          </w:p>
        </w:tc>
      </w:tr>
      <w:tr>
        <w:tc>
          <w:tcPr>
            <w:tcW w:type="dxa" w:w="1080"/>
          </w:tcPr>
          <w:p>
            <w:r>
              <w:rPr>
                <w:rFonts w:ascii="Calibri" w:hAnsi="Calibri"/>
                <w:sz w:val="22"/>
              </w:rPr>
              <w:t>Net Revenue — Q2 2026 ($B)</w:t>
            </w:r>
          </w:p>
        </w:tc>
        <w:tc>
          <w:tcPr>
            <w:tcW w:type="dxa" w:w="1080"/>
          </w:tcPr>
          <w:p>
            <w:r>
              <w:rPr>
                <w:rFonts w:ascii="Calibri" w:hAnsi="Calibri"/>
                <w:sz w:val="22"/>
              </w:rPr>
              <w:t>$5.349B</w:t>
            </w:r>
          </w:p>
        </w:tc>
        <w:tc>
          <w:tcPr>
            <w:tcW w:type="dxa" w:w="1080"/>
          </w:tcPr>
          <w:p>
            <w:r>
              <w:rPr>
                <w:rFonts w:ascii="Calibri" w:hAnsi="Calibri"/>
                <w:sz w:val="22"/>
              </w:rPr>
              <w:t>$5.350B</w:t>
            </w:r>
          </w:p>
        </w:tc>
        <w:tc>
          <w:tcPr>
            <w:tcW w:type="dxa" w:w="1080"/>
          </w:tcPr>
          <w:p>
            <w:r>
              <w:rPr>
                <w:rFonts w:ascii="Calibri" w:hAnsi="Calibri"/>
                <w:sz w:val="22"/>
              </w:rPr>
              <w:t>~0.0%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FY 2026 ($B)</w:t>
            </w:r>
          </w:p>
        </w:tc>
        <w:tc>
          <w:tcPr>
            <w:tcW w:type="dxa" w:w="1080"/>
          </w:tcPr>
          <w:p>
            <w:r>
              <w:rPr>
                <w:rFonts w:ascii="Calibri" w:hAnsi="Calibri"/>
                <w:sz w:val="22"/>
              </w:rPr>
              <w:t>$20.515B</w:t>
            </w:r>
          </w:p>
        </w:tc>
        <w:tc>
          <w:tcPr>
            <w:tcW w:type="dxa" w:w="1080"/>
          </w:tcPr>
          <w:p>
            <w:r>
              <w:rPr>
                <w:rFonts w:ascii="Calibri" w:hAnsi="Calibri"/>
                <w:sz w:val="22"/>
              </w:rPr>
              <w:t>$20.536B</w:t>
            </w:r>
          </w:p>
        </w:tc>
        <w:tc>
          <w:tcPr>
            <w:tcW w:type="dxa" w:w="1080"/>
          </w:tcPr>
          <w:p>
            <w:r>
              <w:rPr>
                <w:rFonts w:ascii="Calibri" w:hAnsi="Calibri"/>
                <w:sz w:val="22"/>
              </w:rPr>
              <w:t>+0.1%</w:t>
            </w:r>
          </w:p>
        </w:tc>
        <w:tc>
          <w:tcPr>
            <w:tcW w:type="dxa" w:w="1080"/>
          </w:tcPr>
          <w:p>
            <w:r>
              <w:rPr>
                <w:rFonts w:ascii="Calibri" w:hAnsi="Calibri"/>
                <w:sz w:val="22"/>
              </w:rPr>
              <w:t>No annual revenue guidance</w:t>
            </w:r>
          </w:p>
        </w:tc>
        <w:tc>
          <w:tcPr>
            <w:tcW w:type="dxa" w:w="1080"/>
          </w:tcPr>
          <w:p>
            <w:r>
              <w:rPr>
                <w:rFonts w:ascii="Calibri" w:hAnsi="Calibri"/>
                <w:sz w:val="22"/>
              </w:rPr>
              <w:t>No annual revenue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been remarkably stable since the Q1 print, with EPS revisions of less than 0.5% in either direction — a sign that the street is comfortable with the guidance range and not making aggressive directional bets ahead of the print. The consensus FY EPS of $5.71 sits just above the guidance midpoint of $5.64, implying the market expects MO to deliver toward the high end of its range, consistent with the historical beat pattern.</w:t>
      </w:r>
    </w:p>
    <w:p>
      <w:r>
        <w:rPr>
          <w:rFonts w:ascii="Calibri" w:hAnsi="Calibri"/>
          <w:i/>
          <w:color w:val="525866"/>
          <w:sz w:val="22"/>
        </w:rPr>
        <w:t>Source: Visible Alpha consensus revision history (weekly, May 1 – July 29, 2026). Baseline as of May 7, 2026 (~5 trading days post Q1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MO's +3.1% gain since the April 30 earnings date has been driven almost entirely by multiple re-rating (NTM P/E expanded from ~10.9x to ~12.8x over the trailing 12 months) rather than estimate revisions, which have been flat; the stock has broadly tracked XLP and SPY since the print, suggesting no idiosyncratic re-rating catalyst has emerged.</w:t>
      </w:r>
    </w:p>
    <w:p>
      <w:pPr>
        <w:pStyle w:val="Heading3"/>
      </w:pPr>
      <w:r>
        <w:rPr>
          <w:rFonts w:ascii="Calibri" w:hAnsi="Calibri"/>
          <w:b/>
          <w:color w:val="3B4259"/>
          <w:sz w:val="24"/>
        </w:rPr>
        <w:t>MO vs. XLP vs. SPY — Indexed Performance Since April 30,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MO (Indexed)</w:t>
            </w:r>
          </w:p>
        </w:tc>
        <w:tc>
          <w:tcPr>
            <w:tcW w:type="dxa" w:w="2160"/>
            <w:shd w:val="clear" w:color="auto" w:fill="3B4259"/>
          </w:tcPr>
          <w:p>
            <w:r>
              <w:rPr>
                <w:rFonts w:ascii="Calibri" w:hAnsi="Calibri"/>
                <w:b/>
                <w:color w:val="FFFFFF"/>
                <w:sz w:val="22"/>
              </w:rPr>
              <w:t>XLP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 2026</w:t>
            </w:r>
          </w:p>
        </w:tc>
        <w:tc>
          <w:tcPr>
            <w:tcW w:type="dxa" w:w="2160"/>
          </w:tcPr>
          <w:p>
            <w:r>
              <w:rPr>
                <w:rFonts w:ascii="Calibri" w:hAnsi="Calibri"/>
                <w:sz w:val="22"/>
              </w:rPr>
              <w:t>93.8</w:t>
            </w:r>
          </w:p>
        </w:tc>
        <w:tc>
          <w:tcPr>
            <w:tcW w:type="dxa" w:w="2160"/>
          </w:tcPr>
          <w:p>
            <w:r>
              <w:rPr>
                <w:rFonts w:ascii="Calibri" w:hAnsi="Calibri"/>
                <w:sz w:val="22"/>
              </w:rPr>
              <w:t>99.8</w:t>
            </w:r>
          </w:p>
        </w:tc>
        <w:tc>
          <w:tcPr>
            <w:tcW w:type="dxa" w:w="2160"/>
          </w:tcPr>
          <w:p>
            <w:r>
              <w:rPr>
                <w:rFonts w:ascii="Calibri" w:hAnsi="Calibri"/>
                <w:sz w:val="22"/>
              </w:rPr>
              <w:t>102.6</w:t>
            </w:r>
          </w:p>
        </w:tc>
      </w:tr>
      <w:tr>
        <w:tc>
          <w:tcPr>
            <w:tcW w:type="dxa" w:w="2160"/>
          </w:tcPr>
          <w:p>
            <w:r>
              <w:rPr>
                <w:rFonts w:ascii="Calibri" w:hAnsi="Calibri"/>
                <w:sz w:val="22"/>
              </w:rPr>
              <w:t>May 22, 2026</w:t>
            </w:r>
          </w:p>
        </w:tc>
        <w:tc>
          <w:tcPr>
            <w:tcW w:type="dxa" w:w="2160"/>
          </w:tcPr>
          <w:p>
            <w:r>
              <w:rPr>
                <w:rFonts w:ascii="Calibri" w:hAnsi="Calibri"/>
                <w:sz w:val="22"/>
              </w:rPr>
              <w:t>101.7</w:t>
            </w:r>
          </w:p>
        </w:tc>
        <w:tc>
          <w:tcPr>
            <w:tcW w:type="dxa" w:w="2160"/>
          </w:tcPr>
          <w:p>
            <w:r>
              <w:rPr>
                <w:rFonts w:ascii="Calibri" w:hAnsi="Calibri"/>
                <w:sz w:val="22"/>
              </w:rPr>
              <w:t>100.6</w:t>
            </w:r>
          </w:p>
        </w:tc>
        <w:tc>
          <w:tcPr>
            <w:tcW w:type="dxa" w:w="2160"/>
          </w:tcPr>
          <w:p>
            <w:r>
              <w:rPr>
                <w:rFonts w:ascii="Calibri" w:hAnsi="Calibri"/>
                <w:sz w:val="22"/>
              </w:rPr>
              <w:t>103.8</w:t>
            </w:r>
          </w:p>
        </w:tc>
      </w:tr>
      <w:tr>
        <w:tc>
          <w:tcPr>
            <w:tcW w:type="dxa" w:w="2160"/>
          </w:tcPr>
          <w:p>
            <w:r>
              <w:rPr>
                <w:rFonts w:ascii="Calibri" w:hAnsi="Calibri"/>
                <w:sz w:val="22"/>
              </w:rPr>
              <w:t>Jun 15, 2026</w:t>
            </w:r>
          </w:p>
        </w:tc>
        <w:tc>
          <w:tcPr>
            <w:tcW w:type="dxa" w:w="2160"/>
          </w:tcPr>
          <w:p>
            <w:r>
              <w:rPr>
                <w:rFonts w:ascii="Calibri" w:hAnsi="Calibri"/>
                <w:sz w:val="22"/>
              </w:rPr>
              <w:t>95.8</w:t>
            </w:r>
          </w:p>
        </w:tc>
        <w:tc>
          <w:tcPr>
            <w:tcW w:type="dxa" w:w="2160"/>
          </w:tcPr>
          <w:p>
            <w:r>
              <w:rPr>
                <w:rFonts w:ascii="Calibri" w:hAnsi="Calibri"/>
                <w:sz w:val="22"/>
              </w:rPr>
              <w:t>101.4</w:t>
            </w:r>
          </w:p>
        </w:tc>
        <w:tc>
          <w:tcPr>
            <w:tcW w:type="dxa" w:w="2160"/>
          </w:tcPr>
          <w:p>
            <w:r>
              <w:rPr>
                <w:rFonts w:ascii="Calibri" w:hAnsi="Calibri"/>
                <w:sz w:val="22"/>
              </w:rPr>
              <w:t>105.0</w:t>
            </w:r>
          </w:p>
        </w:tc>
      </w:tr>
      <w:tr>
        <w:tc>
          <w:tcPr>
            <w:tcW w:type="dxa" w:w="2160"/>
          </w:tcPr>
          <w:p>
            <w:r>
              <w:rPr>
                <w:rFonts w:ascii="Calibri" w:hAnsi="Calibri"/>
                <w:sz w:val="22"/>
              </w:rPr>
              <w:t>Jun 30, 2026</w:t>
            </w:r>
          </w:p>
        </w:tc>
        <w:tc>
          <w:tcPr>
            <w:tcW w:type="dxa" w:w="2160"/>
          </w:tcPr>
          <w:p>
            <w:r>
              <w:rPr>
                <w:rFonts w:ascii="Calibri" w:hAnsi="Calibri"/>
                <w:sz w:val="22"/>
              </w:rPr>
              <w:t>99.0</w:t>
            </w:r>
          </w:p>
        </w:tc>
        <w:tc>
          <w:tcPr>
            <w:tcW w:type="dxa" w:w="2160"/>
          </w:tcPr>
          <w:p>
            <w:r>
              <w:rPr>
                <w:rFonts w:ascii="Calibri" w:hAnsi="Calibri"/>
                <w:sz w:val="22"/>
              </w:rPr>
              <w:t>98.5</w:t>
            </w:r>
          </w:p>
        </w:tc>
        <w:tc>
          <w:tcPr>
            <w:tcW w:type="dxa" w:w="2160"/>
          </w:tcPr>
          <w:p>
            <w:r>
              <w:rPr>
                <w:rFonts w:ascii="Calibri" w:hAnsi="Calibri"/>
                <w:sz w:val="22"/>
              </w:rPr>
              <w:t>103.9</w:t>
            </w:r>
          </w:p>
        </w:tc>
      </w:tr>
      <w:tr>
        <w:tc>
          <w:tcPr>
            <w:tcW w:type="dxa" w:w="2160"/>
          </w:tcPr>
          <w:p>
            <w:r>
              <w:rPr>
                <w:rFonts w:ascii="Calibri" w:hAnsi="Calibri"/>
                <w:sz w:val="22"/>
              </w:rPr>
              <w:t>Jul 16, 2026</w:t>
            </w:r>
          </w:p>
        </w:tc>
        <w:tc>
          <w:tcPr>
            <w:tcW w:type="dxa" w:w="2160"/>
          </w:tcPr>
          <w:p>
            <w:r>
              <w:rPr>
                <w:rFonts w:ascii="Calibri" w:hAnsi="Calibri"/>
                <w:sz w:val="22"/>
              </w:rPr>
              <w:t>100.5</w:t>
            </w:r>
          </w:p>
        </w:tc>
        <w:tc>
          <w:tcPr>
            <w:tcW w:type="dxa" w:w="2160"/>
          </w:tcPr>
          <w:p>
            <w:r>
              <w:rPr>
                <w:rFonts w:ascii="Calibri" w:hAnsi="Calibri"/>
                <w:sz w:val="22"/>
              </w:rPr>
              <w:t>101.8</w:t>
            </w:r>
          </w:p>
        </w:tc>
        <w:tc>
          <w:tcPr>
            <w:tcW w:type="dxa" w:w="2160"/>
          </w:tcPr>
          <w:p>
            <w:r>
              <w:rPr>
                <w:rFonts w:ascii="Calibri" w:hAnsi="Calibri"/>
                <w:sz w:val="22"/>
              </w:rPr>
              <w:t>104.5</w:t>
            </w:r>
          </w:p>
        </w:tc>
      </w:tr>
      <w:tr>
        <w:tc>
          <w:tcPr>
            <w:tcW w:type="dxa" w:w="2160"/>
          </w:tcPr>
          <w:p>
            <w:r>
              <w:rPr>
                <w:rFonts w:ascii="Calibri" w:hAnsi="Calibri"/>
                <w:sz w:val="22"/>
              </w:rPr>
              <w:t>Jul 28, 2026 (Latest)</w:t>
            </w:r>
          </w:p>
        </w:tc>
        <w:tc>
          <w:tcPr>
            <w:tcW w:type="dxa" w:w="2160"/>
          </w:tcPr>
          <w:p>
            <w:r>
              <w:rPr>
                <w:rFonts w:ascii="Calibri" w:hAnsi="Calibri"/>
                <w:sz w:val="22"/>
              </w:rPr>
              <w:t>103.0</w:t>
            </w:r>
          </w:p>
        </w:tc>
        <w:tc>
          <w:tcPr>
            <w:tcW w:type="dxa" w:w="2160"/>
          </w:tcPr>
          <w:p>
            <w:r>
              <w:rPr>
                <w:rFonts w:ascii="Calibri" w:hAnsi="Calibri"/>
                <w:sz w:val="22"/>
              </w:rPr>
              <w:t>103.3</w:t>
            </w:r>
          </w:p>
        </w:tc>
        <w:tc>
          <w:tcPr>
            <w:tcW w:type="dxa" w:w="2160"/>
          </w:tcPr>
          <w:p>
            <w:r>
              <w:rPr>
                <w:rFonts w:ascii="Calibri" w:hAnsi="Calibri"/>
                <w:sz w:val="22"/>
              </w:rPr>
              <w:t>103.1</w:t>
            </w:r>
          </w:p>
        </w:tc>
      </w:tr>
    </w:tbl>
    <w:p>
      <w:r>
        <w:rPr>
          <w:rFonts w:ascii="Calibri" w:hAnsi="Calibri"/>
          <w:b/>
          <w:color w:val="525866"/>
          <w:sz w:val="22"/>
        </w:rPr>
        <w:t xml:space="preserve">Note: </w:t>
      </w:r>
      <w:r>
        <w:rPr>
          <w:rFonts w:ascii="Calibri" w:hAnsi="Calibri"/>
          <w:color w:val="525866"/>
          <w:sz w:val="22"/>
        </w:rPr>
        <w:t>Sector ETF used is XLP (Consumer Staples Select Sector SPDR Fund), which is the appropriate benchmark for MO's consumer staples / tobacco sub-sector. All prices indexed to 100 at April 30, 2026 close (MO: $72.65, XLP: $84.31, SPY: $718.66). Latest prices as of July 28, 2026 (MO: $74.82, XLP: $87.06, SPY: $740.86).</w:t>
      </w:r>
    </w:p>
    <w:p>
      <w:r>
        <w:rPr>
          <w:rFonts w:ascii="Calibri" w:hAnsi="Calibri"/>
          <w:b/>
          <w:color w:val="525866"/>
          <w:sz w:val="22"/>
        </w:rPr>
        <w:t xml:space="preserve">Key events since April 30: </w:t>
      </w:r>
      <w:r>
        <w:rPr>
          <w:rFonts w:ascii="Calibri" w:hAnsi="Calibri"/>
          <w:color w:val="525866"/>
          <w:sz w:val="22"/>
        </w:rPr>
        <w:t>(1) May 14 — CEO transition (Mancuso succeeds Gifford); (2) May 14 — $1.06/share quarterly dividend declared; (3) Jun 30 — FDA grants MRTP authorization to ZYN (PM's competing nicotine pouch), a competitive headwind for on!; (4) Jul 22 — PM Q2 2026 earnings (ZYN shipments +1.8%, guidance cut — mixed read-through for MO).</w:t>
      </w:r>
    </w:p>
    <w:p>
      <w:r>
        <w:rPr>
          <w:rFonts w:ascii="Calibri" w:hAnsi="Calibri"/>
          <w:color w:val="525866"/>
          <w:sz w:val="22"/>
        </w:rPr>
        <w:t>MO underperformed XLP and SPY sharply in the first two weeks post-earnings (down to ~93.8 indexed by May 8) as the market digested the guidance-reaffirm-rather-than-raise and macro concerns, before recovering to broadly track peers. The stock's 12-month NTM P/E re-rating from ~10.9x to ~12.8x (+17.7%) has been the dominant driver of the 27.6% trailing 12-month price gain, with estimate revisions contributing minimally — a pattern that makes the stock more vulnerable to multiple compression if Q2 disappoints.</w:t>
      </w:r>
    </w:p>
    <w:p>
      <w:r>
        <w:rPr>
          <w:rFonts w:ascii="Calibri" w:hAnsi="Calibri"/>
          <w:i/>
          <w:color w:val="525866"/>
          <w:sz w:val="22"/>
        </w:rPr>
        <w:t>Source: Yahoo Finance / Stock Price Data. Stock performance decomposition data from Implied platform.</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FDA's June 30 MRTP authorization for ZYN (PM's nicotine pouch), which gives Zyn a "lower risk" marketing claim — a meaningful competitive headwind for Altria's on! brand heading into Q2 and beyond.</w:t>
      </w:r>
    </w:p>
    <w:p>
      <w:pPr>
        <w:pStyle w:val="ListBullet"/>
        <w:ind w:left="360" w:hanging="360"/>
      </w:pPr>
      <w:r>
        <w:rPr>
          <w:rFonts w:ascii="Calibri" w:hAnsi="Calibri"/>
          <w:color w:val="525866"/>
          <w:sz w:val="22"/>
        </w:rPr>
        <w:t xml:space="preserve">Jul 22, 2026 — PM Q2 2026 Earnings: ZYN shipments +1.8% to 2.9B pouches; PM cut full-year EPS guidance to $8.26–$8.41 (from $8.36–$8.51) and Q3 guidance of $2.20–$2.25 vs. Street $2.42. </w:t>
      </w:r>
      <w:r>
        <w:rPr>
          <w:rFonts w:ascii="Calibri" w:hAnsi="Calibri"/>
          <w:b/>
          <w:color w:val="525866"/>
          <w:sz w:val="22"/>
        </w:rPr>
        <w:t>Implication for MO:</w:t>
      </w:r>
      <w:r>
        <w:rPr>
          <w:rFonts w:ascii="Calibri" w:hAnsi="Calibri"/>
          <w:color w:val="525866"/>
          <w:sz w:val="22"/>
        </w:rPr>
        <w:t xml:space="preserve"> ZYN's return to shipment growth after a weak Q1 (-23%) signals the nicotine pouch category remains robust, which is broadly positive for on! demand; however, PM's planned acceleration of U.S. investment in H2 2026 and the ZYN ULTRA launch (lower price-per-pouch) will intensify competitive pressure on on!'s share and pricing.</w:t>
      </w:r>
    </w:p>
    <w:p>
      <w:pPr>
        <w:pStyle w:val="ListBullet"/>
        <w:ind w:left="360" w:hanging="360"/>
      </w:pPr>
      <w:r>
        <w:rPr>
          <w:rFonts w:ascii="Calibri" w:hAnsi="Calibri"/>
          <w:b/>
          <w:color w:val="525866"/>
          <w:sz w:val="22"/>
        </w:rPr>
        <w:t xml:space="preserve">Jun 30, 2026 — FDA Grants ZYN MRTP Authorization: </w:t>
      </w:r>
      <w:r>
        <w:rPr>
          <w:rFonts w:ascii="Calibri" w:hAnsi="Calibri"/>
          <w:color w:val="525866"/>
          <w:sz w:val="22"/>
        </w:rPr>
        <w:t xml:space="preserve">FDA authorized 20 ZYN SKUs to be marketed with the claim that using ZYN instead of cigarettes puts consumers at lower risk of mouth cancer, heart disease, lung cancer, stroke, emphysema, and chronic bronchitis — the first such authorization for any nicotine pouch product. </w:t>
      </w:r>
      <w:r>
        <w:rPr>
          <w:rFonts w:ascii="Calibri" w:hAnsi="Calibri"/>
          <w:b/>
          <w:color w:val="525866"/>
          <w:sz w:val="22"/>
        </w:rPr>
        <w:t>Implication for MO:</w:t>
      </w:r>
      <w:r>
        <w:rPr>
          <w:rFonts w:ascii="Calibri" w:hAnsi="Calibri"/>
          <w:color w:val="525866"/>
          <w:sz w:val="22"/>
        </w:rPr>
        <w:t xml:space="preserve"> This is a significant competitive disadvantage for on! and on! PLUS, which do not yet have MRTP authorization. It could accelerate consumer and retailer preference for ZYN and pressure on!'s share trajectory in Q2 and beyond.</w:t>
      </w:r>
    </w:p>
    <w:p>
      <w:pPr>
        <w:pStyle w:val="ListBullet"/>
        <w:ind w:left="360" w:hanging="360"/>
      </w:pPr>
      <w:r>
        <w:rPr>
          <w:rFonts w:ascii="Calibri" w:hAnsi="Calibri"/>
          <w:b/>
          <w:color w:val="525866"/>
          <w:sz w:val="22"/>
        </w:rPr>
        <w:t xml:space="preserve">Jun 2, 2026 — PM at Deutsche Bank Consumer Conference: </w:t>
      </w:r>
      <w:r>
        <w:rPr>
          <w:rFonts w:ascii="Calibri" w:hAnsi="Calibri"/>
          <w:color w:val="525866"/>
          <w:sz w:val="22"/>
        </w:rPr>
        <w:t xml:space="preserve">PM CEO Olczak confirmed ZYN ULTRA launch (9mg and 11mg moist variants at lower price-per-pouch) beginning shipments that week, targeting the competitive gap that had driven ZYN's share pressure. Described U.S. nicotine pouch category growing "20–30%." </w:t>
      </w:r>
      <w:r>
        <w:rPr>
          <w:rFonts w:ascii="Calibri" w:hAnsi="Calibri"/>
          <w:b/>
          <w:color w:val="525866"/>
          <w:sz w:val="22"/>
        </w:rPr>
        <w:t>Implication for MO:</w:t>
      </w:r>
      <w:r>
        <w:rPr>
          <w:rFonts w:ascii="Calibri" w:hAnsi="Calibri"/>
          <w:color w:val="525866"/>
          <w:sz w:val="22"/>
        </w:rPr>
        <w:t xml:space="preserve"> ZYN ULTRA's lower price point directly targets the segment where on! has been gaining share, increasing competitive intensity.</w:t>
      </w:r>
    </w:p>
    <w:p>
      <w:pPr>
        <w:pStyle w:val="ListBullet"/>
        <w:ind w:left="360" w:hanging="360"/>
      </w:pPr>
      <w:r>
        <w:rPr>
          <w:rFonts w:ascii="Calibri" w:hAnsi="Calibri"/>
          <w:b/>
          <w:color w:val="525866"/>
          <w:sz w:val="22"/>
        </w:rPr>
        <w:t xml:space="preserve">Jul 1, 2026 — BTI H1 2026 Trading Update: </w:t>
      </w:r>
      <w:r>
        <w:rPr>
          <w:rFonts w:ascii="Calibri" w:hAnsi="Calibri"/>
          <w:color w:val="525866"/>
          <w:sz w:val="22"/>
        </w:rPr>
        <w:t xml:space="preserve">British American Tobacco confirmed FY outlook and reported strong U.S. revenue and profit growth driven by combustibles, Modern Oral (Velo), and Vapour. Velo Plus driving total volume share of Modern Oral +10.4 pts. </w:t>
      </w:r>
      <w:r>
        <w:rPr>
          <w:rFonts w:ascii="Calibri" w:hAnsi="Calibri"/>
          <w:b/>
          <w:color w:val="525866"/>
          <w:sz w:val="22"/>
        </w:rPr>
        <w:t>Implication for MO:</w:t>
      </w:r>
      <w:r>
        <w:rPr>
          <w:rFonts w:ascii="Calibri" w:hAnsi="Calibri"/>
          <w:color w:val="525866"/>
          <w:sz w:val="22"/>
        </w:rPr>
        <w:t xml:space="preserve"> Velo's strong share gains in the nicotine pouch category represent a second competitive headwind for on!, alongside ZYN.</w:t>
      </w:r>
    </w:p>
    <w:p>
      <w:pPr>
        <w:pStyle w:val="ListBullet"/>
        <w:ind w:left="360" w:hanging="360"/>
      </w:pPr>
      <w:r>
        <w:rPr>
          <w:rFonts w:ascii="Calibri" w:hAnsi="Calibri"/>
          <w:b/>
          <w:color w:val="525866"/>
          <w:sz w:val="22"/>
        </w:rPr>
        <w:t xml:space="preserve">May 14, 2026 — CEO/CFO Transition Effective: </w:t>
      </w:r>
      <w:r>
        <w:rPr>
          <w:rFonts w:ascii="Calibri" w:hAnsi="Calibri"/>
          <w:color w:val="525866"/>
          <w:sz w:val="22"/>
        </w:rPr>
        <w:t xml:space="preserve">Sal Mancuso succeeded Billy Gifford as CEO; Heather Newman became CFO. Gifford retained as consultant at $250K/month through Dec 31, 2026. Q2 2026 will be the first earnings call under new CEO Mancuso. </w:t>
      </w:r>
      <w:r>
        <w:rPr>
          <w:rFonts w:ascii="Calibri" w:hAnsi="Calibri"/>
          <w:b/>
          <w:color w:val="525866"/>
          <w:sz w:val="22"/>
        </w:rPr>
        <w:t>Implication for MO:</w:t>
      </w:r>
      <w:r>
        <w:rPr>
          <w:rFonts w:ascii="Calibri" w:hAnsi="Calibri"/>
          <w:color w:val="525866"/>
          <w:sz w:val="22"/>
        </w:rPr>
        <w:t xml:space="preserve"> Leadership continuity risk is low given Mancuso's 30+ year tenure, but investors will scrutinize tone and strategic framing on the call.</w:t>
      </w:r>
    </w:p>
    <w:p>
      <w:pPr>
        <w:pStyle w:val="ListBullet"/>
        <w:ind w:left="360" w:hanging="360"/>
      </w:pPr>
      <w:r>
        <w:rPr>
          <w:rFonts w:ascii="Calibri" w:hAnsi="Calibri"/>
          <w:b/>
          <w:color w:val="525866"/>
          <w:sz w:val="22"/>
        </w:rPr>
        <w:t xml:space="preserve">May 14, 2026 — Quarterly Dividend Declared: </w:t>
      </w:r>
      <w:r>
        <w:rPr>
          <w:rFonts w:ascii="Calibri" w:hAnsi="Calibri"/>
          <w:color w:val="525866"/>
          <w:sz w:val="22"/>
        </w:rPr>
        <w:t xml:space="preserve">$1.06/share declared at Annual Meeting, payable July 10, 2026 to shareholders of record June 15, 2026. Annualized yield of ~$4.24/share. No change to dividend rate. </w:t>
      </w:r>
      <w:r>
        <w:rPr>
          <w:rFonts w:ascii="Calibri" w:hAnsi="Calibri"/>
          <w:b/>
          <w:color w:val="525866"/>
          <w:sz w:val="22"/>
        </w:rPr>
        <w:t>Implication for MO:</w:t>
      </w:r>
      <w:r>
        <w:rPr>
          <w:rFonts w:ascii="Calibri" w:hAnsi="Calibri"/>
          <w:color w:val="525866"/>
          <w:sz w:val="22"/>
        </w:rPr>
        <w:t xml:space="preserve"> Dividend stability reinforces income thesis; watch for any commentary on capital allocation priorities under new management.</w:t>
      </w:r>
    </w:p>
    <w:p>
      <w:pPr>
        <w:pStyle w:val="ListBullet"/>
        <w:ind w:left="360" w:hanging="360"/>
      </w:pPr>
      <w:r>
        <w:rPr>
          <w:rFonts w:ascii="Calibri" w:hAnsi="Calibri"/>
          <w:b/>
          <w:color w:val="525866"/>
          <w:sz w:val="22"/>
        </w:rPr>
        <w:t xml:space="preserve">Apr 30, 2026 — Q1 2026 Earnings (Baseline): </w:t>
      </w:r>
      <w:r>
        <w:rPr>
          <w:rFonts w:ascii="Calibri" w:hAnsi="Calibri"/>
          <w:color w:val="525866"/>
          <w:sz w:val="22"/>
        </w:rPr>
        <w:t>Adj. EPS $1.32 (+7.3% YoY), beat consensus of ~$1.25. FY guidance reaffirmed at $5.56–$5.72. Phasing shifted to more balanced H1/H2. on! PLUS national rollout completed (100K stores, 85% of nicotine pouch volume). Marlboro Cowboy Cut distribution expansion planned for Q2. Cigarette industry volume declines moderating for 4th consecutive quarter.</w:t>
      </w:r>
    </w:p>
    <w:p>
      <w:r>
        <w:br w:type="page"/>
      </w:r>
    </w:p>
    <w:p>
      <w:pPr>
        <w:pStyle w:val="Heading2"/>
      </w:pPr>
      <w:r>
        <w:rPr>
          <w:rFonts w:ascii="Calibri" w:hAnsi="Calibri"/>
          <w:b/>
          <w:color w:val="3B4259"/>
          <w:sz w:val="28"/>
        </w:rPr>
        <w:t>7. Peer Commentaries — 60-Day Current-Quarter Read-Throughs</w:t>
      </w:r>
    </w:p>
    <w:p>
      <w:r>
        <w:rPr>
          <w:rFonts w:ascii="Calibri" w:hAnsi="Calibri"/>
          <w:b/>
          <w:color w:val="525866"/>
          <w:sz w:val="22"/>
        </w:rPr>
        <w:t xml:space="preserve">Key Takeaway: </w:t>
      </w:r>
      <w:r>
        <w:rPr>
          <w:rFonts w:ascii="Calibri" w:hAnsi="Calibri"/>
          <w:color w:val="525866"/>
          <w:sz w:val="22"/>
        </w:rPr>
        <w:t>Peer commentary from the current April–June 2026 reporting quarter is broadly constructive for MO: the U.S. nicotine pouch category continues to grow at a strong pace, combustible pricing power remains intact across the industry, and macro pressure on value-sensitive consumers is a shared headwind. The key negative read-through is ZYN's MRTP authorization and PM's planned H2 investment acceleration, which will intensify competitive pressure on on!.</w:t>
      </w:r>
    </w:p>
    <w:p>
      <w:r>
        <w:rPr>
          <w:rFonts w:ascii="Calibri" w:hAnsi="Calibri"/>
          <w:b/>
          <w:color w:val="525866"/>
          <w:sz w:val="22"/>
        </w:rPr>
        <w:t xml:space="preserve">Note: </w:t>
      </w:r>
      <w:r>
        <w:rPr>
          <w:rFonts w:ascii="Calibri" w:hAnsi="Calibri"/>
          <w:i/>
          <w:color w:val="525866"/>
          <w:sz w:val="22"/>
        </w:rPr>
        <w:t>Only commentary issued May 30 – July 29, 2026 that addresses the current April–June 2026 reporting quarter or forward outlook arising during that period is included below. Commentary about prior-quarter results (e.g., PM's Q1 2026 results discussed on the Q1 call) is excluded.</w:t>
      </w:r>
    </w:p>
    <w:p>
      <w:pPr>
        <w:pStyle w:val="Heading3"/>
      </w:pPr>
      <w:r>
        <w:rPr>
          <w:rFonts w:ascii="Calibri" w:hAnsi="Calibri"/>
          <w:b/>
          <w:color w:val="3B4259"/>
          <w:sz w:val="24"/>
        </w:rPr>
        <w:t>Philip Morris International (PM) — Q2 2026 Earnings Call (July 22, 2026)</w:t>
      </w:r>
    </w:p>
    <w:p>
      <w:r>
        <w:rPr>
          <w:rFonts w:ascii="Calibri" w:hAnsi="Calibri"/>
          <w:b/>
          <w:color w:val="525866"/>
          <w:sz w:val="22"/>
        </w:rPr>
        <w:t xml:space="preserve">Read-Through Direction: </w:t>
      </w:r>
      <w:r>
        <w:rPr>
          <w:rFonts w:ascii="Calibri" w:hAnsi="Calibri"/>
          <w:color w:val="525866"/>
          <w:sz w:val="22"/>
        </w:rPr>
        <w:t>Mixed-to-Positive for MO</w:t>
      </w:r>
    </w:p>
    <w:p>
      <w:pPr>
        <w:pStyle w:val="ListBullet"/>
        <w:ind w:left="360" w:hanging="360"/>
      </w:pPr>
      <w:r>
        <w:rPr>
          <w:rFonts w:ascii="Calibri" w:hAnsi="Calibri"/>
          <w:b/>
          <w:color w:val="525866"/>
          <w:sz w:val="22"/>
        </w:rPr>
        <w:t xml:space="preserve">U.S. Nicotine Pouch Category Growth: </w:t>
      </w:r>
      <w:r>
        <w:rPr>
          <w:rFonts w:ascii="Calibri" w:hAnsi="Calibri"/>
          <w:color w:val="525866"/>
          <w:sz w:val="22"/>
        </w:rPr>
        <w:t xml:space="preserve">"The U.S. nicotine pouch category continued to grow" in Q2 2026, described as "the fastest growing category in the US," supported by "strong legal age consumer demand." ZYN shipments increased 2% YoY to 2.9 billion pouches, with a 25% sequential improvement vs. Q1. </w:t>
      </w:r>
      <w:r>
        <w:rPr>
          <w:rFonts w:ascii="Calibri" w:hAnsi="Calibri"/>
          <w:b/>
          <w:color w:val="525866"/>
          <w:sz w:val="22"/>
        </w:rPr>
        <w:t>MO Read-Through:</w:t>
      </w:r>
      <w:r>
        <w:rPr>
          <w:rFonts w:ascii="Calibri" w:hAnsi="Calibri"/>
          <w:color w:val="525866"/>
          <w:sz w:val="22"/>
        </w:rPr>
        <w:t xml:space="preserve"> Positive — a growing category lifts all participants, including on! and on! PLUS.</w:t>
      </w:r>
    </w:p>
    <w:p>
      <w:pPr>
        <w:pStyle w:val="ListBullet"/>
        <w:ind w:left="360" w:hanging="360"/>
      </w:pPr>
      <w:r>
        <w:rPr>
          <w:rFonts w:ascii="Calibri" w:hAnsi="Calibri"/>
          <w:b/>
          <w:color w:val="525866"/>
          <w:sz w:val="22"/>
        </w:rPr>
        <w:t xml:space="preserve">ZYN Competitive Dynamics: </w:t>
      </w:r>
      <w:r>
        <w:rPr>
          <w:rFonts w:ascii="Calibri" w:hAnsi="Calibri"/>
          <w:color w:val="525866"/>
          <w:sz w:val="22"/>
        </w:rPr>
        <w:t xml:space="preserve">ZYN's offtake volumes were "broadly stable to slightly growing versus the prior year, reflecting the uneven competitive landscape." ZYN retains "a retail value share of around 57%." PM acknowledged competitive gaps in the "growing higher strength segment" and certain flavor segments, as well as an "elevated price premium" as drivers of recent share pressure. </w:t>
      </w:r>
      <w:r>
        <w:rPr>
          <w:rFonts w:ascii="Calibri" w:hAnsi="Calibri"/>
          <w:b/>
          <w:color w:val="525866"/>
          <w:sz w:val="22"/>
        </w:rPr>
        <w:t>MO Read-Through:</w:t>
      </w:r>
      <w:r>
        <w:rPr>
          <w:rFonts w:ascii="Calibri" w:hAnsi="Calibri"/>
          <w:color w:val="525866"/>
          <w:sz w:val="22"/>
        </w:rPr>
        <w:t xml:space="preserve"> Positive for on! — ZYN's share pressure in higher-strength and certain flavor segments suggests on! and on! PLUS have been gaining in those pockets.</w:t>
      </w:r>
    </w:p>
    <w:p>
      <w:pPr>
        <w:pStyle w:val="ListBullet"/>
        <w:ind w:left="360" w:hanging="360"/>
      </w:pPr>
      <w:r>
        <w:rPr>
          <w:rFonts w:ascii="Calibri" w:hAnsi="Calibri"/>
          <w:b/>
          <w:color w:val="525866"/>
          <w:sz w:val="22"/>
        </w:rPr>
        <w:t xml:space="preserve">ZYN ULTRA Launch &amp; H2 Investment Acceleration: </w:t>
      </w:r>
      <w:r>
        <w:rPr>
          <w:rFonts w:ascii="Calibri" w:hAnsi="Calibri"/>
          <w:color w:val="525866"/>
          <w:sz w:val="22"/>
        </w:rPr>
        <w:t xml:space="preserve">PM launched ZYN ULTRA (9mg and 11mg moist variants) at a "lower per pouch price than the ZYN flagship range," reducing the price premium to competitors. PM plans to "accelerate U.S. investments in the second half" including a new brand campaign ("When it clicks") starting July 2026 and further portfolio extensions (1.5mg and 8mg dry formats in Q3). </w:t>
      </w:r>
      <w:r>
        <w:rPr>
          <w:rFonts w:ascii="Calibri" w:hAnsi="Calibri"/>
          <w:b/>
          <w:color w:val="525866"/>
          <w:sz w:val="22"/>
        </w:rPr>
        <w:t>MO Read-Through:</w:t>
      </w:r>
      <w:r>
        <w:rPr>
          <w:rFonts w:ascii="Calibri" w:hAnsi="Calibri"/>
          <w:color w:val="525866"/>
          <w:sz w:val="22"/>
        </w:rPr>
        <w:t xml:space="preserve"> Negative — ZYN ULTRA's lower price point and PM's H2 investment acceleration will directly challenge on!'s competitive positioning and could pressure on!'s share and pricing in Q3 and beyond.</w:t>
      </w:r>
    </w:p>
    <w:p>
      <w:pPr>
        <w:pStyle w:val="ListBullet"/>
        <w:ind w:left="360" w:hanging="360"/>
      </w:pPr>
      <w:r>
        <w:rPr>
          <w:rFonts w:ascii="Calibri" w:hAnsi="Calibri"/>
          <w:b/>
          <w:color w:val="525866"/>
          <w:sz w:val="22"/>
        </w:rPr>
        <w:t xml:space="preserve">ZYN MRTP Authorization (Jun 30, 2026): </w:t>
      </w:r>
      <w:r>
        <w:rPr>
          <w:rFonts w:ascii="Calibri" w:hAnsi="Calibri"/>
          <w:color w:val="525866"/>
          <w:sz w:val="22"/>
        </w:rPr>
        <w:t xml:space="preserve">PM noted ZYN is "well positioned from a regulatory standpoint, notably following the modified risk tobacco product authorization of 20 SKUs, making it the only nicotine pouch product with a designation," allowing the marketing claim that ZYN use puts consumers at lower risk of multiple serious diseases. </w:t>
      </w:r>
      <w:r>
        <w:rPr>
          <w:rFonts w:ascii="Calibri" w:hAnsi="Calibri"/>
          <w:b/>
          <w:color w:val="525866"/>
          <w:sz w:val="22"/>
        </w:rPr>
        <w:t>MO Read-Through:</w:t>
      </w:r>
      <w:r>
        <w:rPr>
          <w:rFonts w:ascii="Calibri" w:hAnsi="Calibri"/>
          <w:color w:val="525866"/>
          <w:sz w:val="22"/>
        </w:rPr>
        <w:t xml:space="preserve"> Negative — ZYN's unique MRTP status creates a meaningful marketing and consumer trust advantage over on! and on! PLUS, which lack equivalent authorization.</w:t>
      </w:r>
    </w:p>
    <w:p>
      <w:pPr>
        <w:pStyle w:val="ListBullet"/>
        <w:ind w:left="360" w:hanging="360"/>
      </w:pPr>
      <w:r>
        <w:rPr>
          <w:rFonts w:ascii="Calibri" w:hAnsi="Calibri"/>
          <w:b/>
          <w:color w:val="525866"/>
          <w:sz w:val="22"/>
        </w:rPr>
        <w:t xml:space="preserve">U.S. Segment Financials: </w:t>
      </w:r>
      <w:r>
        <w:rPr>
          <w:rFonts w:ascii="Calibri" w:hAnsi="Calibri"/>
          <w:color w:val="525866"/>
          <w:sz w:val="22"/>
        </w:rPr>
        <w:t xml:space="preserve">PM's U.S. segment delivered a "significant sequential improvement" with net revenue up 38% and adjusted gross profit up 46% vs. Q1, though ZYN net revenues were "broadly flat" YoY due to higher manufacturing costs from the Colorado facility ramp-up. Full-scale commercial production at the Aurora campus began in July 2026. </w:t>
      </w:r>
      <w:r>
        <w:rPr>
          <w:rFonts w:ascii="Calibri" w:hAnsi="Calibri"/>
          <w:b/>
          <w:color w:val="525866"/>
          <w:sz w:val="22"/>
        </w:rPr>
        <w:t>MO Read-Through:</w:t>
      </w:r>
      <w:r>
        <w:rPr>
          <w:rFonts w:ascii="Calibri" w:hAnsi="Calibri"/>
          <w:color w:val="525866"/>
          <w:sz w:val="22"/>
        </w:rPr>
        <w:t xml:space="preserve"> Neutral — PM's manufacturing investment signals long-term commitment to the U.S. market but near-term cost headwinds are PM-specific.</w:t>
      </w:r>
    </w:p>
    <w:p>
      <w:pPr>
        <w:pStyle w:val="ListBullet"/>
        <w:ind w:left="360" w:hanging="360"/>
      </w:pPr>
      <w:r>
        <w:rPr>
          <w:rFonts w:ascii="Calibri" w:hAnsi="Calibri"/>
          <w:b/>
          <w:color w:val="525866"/>
          <w:sz w:val="22"/>
        </w:rPr>
        <w:t xml:space="preserve">PM Guidance Cut: </w:t>
      </w:r>
      <w:r>
        <w:rPr>
          <w:rFonts w:ascii="Calibri" w:hAnsi="Calibri"/>
          <w:color w:val="525866"/>
          <w:sz w:val="22"/>
        </w:rPr>
        <w:t xml:space="preserve">PM lowered full-year EPS guidance to $8.26–$8.41 (from $8.36–$8.51) and guided Q3 EPS of $2.20–$2.25 vs. Street $2.42, citing FX headwinds and higher U.S. investment. </w:t>
      </w:r>
      <w:r>
        <w:rPr>
          <w:rFonts w:ascii="Calibri" w:hAnsi="Calibri"/>
          <w:b/>
          <w:color w:val="525866"/>
          <w:sz w:val="22"/>
        </w:rPr>
        <w:t>MO Read-Through:</w:t>
      </w:r>
      <w:r>
        <w:rPr>
          <w:rFonts w:ascii="Calibri" w:hAnsi="Calibri"/>
          <w:color w:val="525866"/>
          <w:sz w:val="22"/>
        </w:rPr>
        <w:t xml:space="preserve"> Neutral to Slightly Negative — PM's guidance cut is primarily FX and investment-driven (not U.S. demand-driven), so limited direct read-through to MO's domestic business.</w:t>
      </w:r>
    </w:p>
    <w:p>
      <w:pPr>
        <w:pStyle w:val="Heading3"/>
      </w:pPr>
      <w:r>
        <w:rPr>
          <w:rFonts w:ascii="Calibri" w:hAnsi="Calibri"/>
          <w:b/>
          <w:color w:val="3B4259"/>
          <w:sz w:val="24"/>
        </w:rPr>
        <w:t>Philip Morris International (PM) — Deutsche Bank Global Consumer Conference (June 2, 2026)</w:t>
      </w:r>
    </w:p>
    <w:p>
      <w:r>
        <w:rPr>
          <w:rFonts w:ascii="Calibri" w:hAnsi="Calibri"/>
          <w:b/>
          <w:color w:val="525866"/>
          <w:sz w:val="22"/>
        </w:rPr>
        <w:t xml:space="preserve">Read-Through Direction: </w:t>
      </w:r>
      <w:r>
        <w:rPr>
          <w:rFonts w:ascii="Calibri" w:hAnsi="Calibri"/>
          <w:color w:val="525866"/>
          <w:sz w:val="22"/>
        </w:rPr>
        <w:t>Mixed for MO</w:t>
      </w:r>
    </w:p>
    <w:p>
      <w:pPr>
        <w:pStyle w:val="ListBullet"/>
        <w:ind w:left="360" w:hanging="360"/>
      </w:pPr>
      <w:r>
        <w:rPr>
          <w:rFonts w:ascii="Calibri" w:hAnsi="Calibri"/>
          <w:b/>
          <w:color w:val="525866"/>
          <w:sz w:val="22"/>
        </w:rPr>
        <w:t xml:space="preserve">U.S. Nicotine Pouch Category Size &amp; Growth: </w:t>
      </w:r>
      <w:r>
        <w:rPr>
          <w:rFonts w:ascii="Calibri" w:hAnsi="Calibri"/>
          <w:color w:val="525866"/>
          <w:sz w:val="22"/>
        </w:rPr>
        <w:t xml:space="preserve">PM CEO Olczak described the U.S. nicotine pouch category as growing "somewhere in the range of 20–30%" and characterized it as "still in a very embryonic phase," suggesting substantial long-term potential. He noted the category "can accelerate from this level." </w:t>
      </w:r>
      <w:r>
        <w:rPr>
          <w:rFonts w:ascii="Calibri" w:hAnsi="Calibri"/>
          <w:b/>
          <w:color w:val="525866"/>
          <w:sz w:val="22"/>
        </w:rPr>
        <w:t>MO Read-Through:</w:t>
      </w:r>
      <w:r>
        <w:rPr>
          <w:rFonts w:ascii="Calibri" w:hAnsi="Calibri"/>
          <w:color w:val="525866"/>
          <w:sz w:val="22"/>
        </w:rPr>
        <w:t xml:space="preserve"> Positive — a rapidly growing category provides a favorable demand backdrop for on! and on! PLUS.</w:t>
      </w:r>
    </w:p>
    <w:p>
      <w:pPr>
        <w:pStyle w:val="ListBullet"/>
        <w:ind w:left="360" w:hanging="360"/>
      </w:pPr>
      <w:r>
        <w:rPr>
          <w:rFonts w:ascii="Calibri" w:hAnsi="Calibri"/>
          <w:b/>
          <w:color w:val="525866"/>
          <w:sz w:val="22"/>
        </w:rPr>
        <w:t xml:space="preserve">ZYN Share Pressure &amp; Portfolio Gap: </w:t>
      </w:r>
      <w:r>
        <w:rPr>
          <w:rFonts w:ascii="Calibri" w:hAnsi="Calibri"/>
          <w:color w:val="525866"/>
          <w:sz w:val="22"/>
        </w:rPr>
        <w:t xml:space="preserve">Olczak acknowledged ZYN has been "under market share pressure over the last few quarters" due to "asymmetry in the portfolio" — specifically gaps in higher-strength and certain flavor segments. He described ZYN as "not growing, but also not tanking." </w:t>
      </w:r>
      <w:r>
        <w:rPr>
          <w:rFonts w:ascii="Calibri" w:hAnsi="Calibri"/>
          <w:b/>
          <w:color w:val="525866"/>
          <w:sz w:val="22"/>
        </w:rPr>
        <w:t>MO Read-Through:</w:t>
      </w:r>
      <w:r>
        <w:rPr>
          <w:rFonts w:ascii="Calibri" w:hAnsi="Calibri"/>
          <w:color w:val="525866"/>
          <w:sz w:val="22"/>
        </w:rPr>
        <w:t xml:space="preserve"> Positive — ZYN's portfolio gaps have created space for on! to gain share, particularly in segments where on! PLUS's NICOSILK technology and flavor profile are differentiated.</w:t>
      </w:r>
    </w:p>
    <w:p>
      <w:pPr>
        <w:pStyle w:val="ListBullet"/>
        <w:ind w:left="360" w:hanging="360"/>
      </w:pPr>
      <w:r>
        <w:rPr>
          <w:rFonts w:ascii="Calibri" w:hAnsi="Calibri"/>
          <w:b/>
          <w:color w:val="525866"/>
          <w:sz w:val="22"/>
        </w:rPr>
        <w:t xml:space="preserve">ZYN ULTRA Launch (Shipments Beginning Jun 2, 2026): </w:t>
      </w:r>
      <w:r>
        <w:rPr>
          <w:rFonts w:ascii="Calibri" w:hAnsi="Calibri"/>
          <w:color w:val="525866"/>
          <w:sz w:val="22"/>
        </w:rPr>
        <w:t xml:space="preserve">Olczak confirmed ZYN ULTRA shipments in 9mg and 11mg strengths were beginning "essentially this week" (June 2), with manufacturing already underway. ZYN ULTRA is priced at a lower per-pouch price than the flagship dry range, targeting the competitive gap. </w:t>
      </w:r>
      <w:r>
        <w:rPr>
          <w:rFonts w:ascii="Calibri" w:hAnsi="Calibri"/>
          <w:b/>
          <w:color w:val="525866"/>
          <w:sz w:val="22"/>
        </w:rPr>
        <w:t>MO Read-Through:</w:t>
      </w:r>
      <w:r>
        <w:rPr>
          <w:rFonts w:ascii="Calibri" w:hAnsi="Calibri"/>
          <w:color w:val="525866"/>
          <w:sz w:val="22"/>
        </w:rPr>
        <w:t xml:space="preserve"> Negative — ZYN ULTRA's launch during Q2 2026 (the current reporting quarter) represents a direct competitive response in the higher-strength segment where on! PLUS competes.</w:t>
      </w:r>
    </w:p>
    <w:p>
      <w:pPr>
        <w:pStyle w:val="ListBullet"/>
        <w:ind w:left="360" w:hanging="360"/>
      </w:pPr>
      <w:r>
        <w:rPr>
          <w:rFonts w:ascii="Calibri" w:hAnsi="Calibri"/>
          <w:b/>
          <w:color w:val="525866"/>
          <w:sz w:val="22"/>
        </w:rPr>
        <w:t xml:space="preserve">Regulatory Tone: </w:t>
      </w:r>
      <w:r>
        <w:rPr>
          <w:rFonts w:ascii="Calibri" w:hAnsi="Calibri"/>
          <w:color w:val="525866"/>
          <w:sz w:val="22"/>
        </w:rPr>
        <w:t xml:space="preserve">Olczak viewed FDA guidance as a "net positive" that "should contribute to the further growth of the category" and noted that pouches are "finding a regulated pathway to the market, which by definition takes the oxygen out for any attempts to supply the market from illicit sources." </w:t>
      </w:r>
      <w:r>
        <w:rPr>
          <w:rFonts w:ascii="Calibri" w:hAnsi="Calibri"/>
          <w:b/>
          <w:color w:val="525866"/>
          <w:sz w:val="22"/>
        </w:rPr>
        <w:t>MO Read-Through:</w:t>
      </w:r>
      <w:r>
        <w:rPr>
          <w:rFonts w:ascii="Calibri" w:hAnsi="Calibri"/>
          <w:color w:val="525866"/>
          <w:sz w:val="22"/>
        </w:rPr>
        <w:t xml:space="preserve"> Positive — a regulated, enforcement-supported market benefits all legitimate participants including Altria.</w:t>
      </w:r>
    </w:p>
    <w:p>
      <w:pPr>
        <w:pStyle w:val="ListBullet"/>
        <w:ind w:left="360" w:hanging="360"/>
      </w:pPr>
      <w:r>
        <w:rPr>
          <w:rFonts w:ascii="Calibri" w:hAnsi="Calibri"/>
          <w:b/>
          <w:color w:val="525866"/>
          <w:sz w:val="22"/>
        </w:rPr>
        <w:t xml:space="preserve">Consumer Behavior — Freedom of Use: </w:t>
      </w:r>
      <w:r>
        <w:rPr>
          <w:rFonts w:ascii="Calibri" w:hAnsi="Calibri"/>
          <w:color w:val="525866"/>
          <w:sz w:val="22"/>
        </w:rPr>
        <w:t xml:space="preserve">Olczak highlighted that nicotine pouches offer "much more opportunities during a day" due to "freedom of use" compared to inhalable products, driving multi-occasion consumption. </w:t>
      </w:r>
      <w:r>
        <w:rPr>
          <w:rFonts w:ascii="Calibri" w:hAnsi="Calibri"/>
          <w:b/>
          <w:color w:val="525866"/>
          <w:sz w:val="22"/>
        </w:rPr>
        <w:t>MO Read-Through:</w:t>
      </w:r>
      <w:r>
        <w:rPr>
          <w:rFonts w:ascii="Calibri" w:hAnsi="Calibri"/>
          <w:color w:val="525866"/>
          <w:sz w:val="22"/>
        </w:rPr>
        <w:t xml:space="preserve"> Positive — supports the structural demand thesis for on! and on! PLUS as a complement to or replacement for combustibles.</w:t>
      </w:r>
    </w:p>
    <w:p>
      <w:pPr>
        <w:pStyle w:val="Heading3"/>
      </w:pPr>
      <w:r>
        <w:rPr>
          <w:rFonts w:ascii="Calibri" w:hAnsi="Calibri"/>
          <w:b/>
          <w:color w:val="3B4259"/>
          <w:sz w:val="24"/>
        </w:rPr>
        <w:t>British American Tobacco (BTI) — H1 2026 Trading Update (July 1, 2026)</w:t>
      </w:r>
    </w:p>
    <w:p>
      <w:r>
        <w:rPr>
          <w:rFonts w:ascii="Calibri" w:hAnsi="Calibri"/>
          <w:b/>
          <w:color w:val="525866"/>
          <w:sz w:val="22"/>
        </w:rPr>
        <w:t xml:space="preserve">Read-Through Direction: </w:t>
      </w:r>
      <w:r>
        <w:rPr>
          <w:rFonts w:ascii="Calibri" w:hAnsi="Calibri"/>
          <w:color w:val="525866"/>
          <w:sz w:val="22"/>
        </w:rPr>
        <w:t>Mixed for MO</w:t>
      </w:r>
    </w:p>
    <w:p>
      <w:pPr>
        <w:pStyle w:val="ListBullet"/>
        <w:ind w:left="360" w:hanging="360"/>
      </w:pPr>
      <w:r>
        <w:rPr>
          <w:rFonts w:ascii="Calibri" w:hAnsi="Calibri"/>
          <w:b/>
          <w:color w:val="525866"/>
          <w:sz w:val="22"/>
        </w:rPr>
        <w:t xml:space="preserve">U.S. Combustible Revenue &amp; Profit Growth: </w:t>
      </w:r>
      <w:r>
        <w:rPr>
          <w:rFonts w:ascii="Calibri" w:hAnsi="Calibri"/>
          <w:color w:val="525866"/>
          <w:sz w:val="22"/>
        </w:rPr>
        <w:t xml:space="preserve">BAT reported "strong U.S. revenue and profit growth, driven by combustibles, Modern Oral and Vapour" in H1 2026, with performance "expected to be skewed to H1 as we lap a stronger H2 comparator." U.S. combustible share declined -20bps value and -80bps volume, "driven by heightened competitive activity mainly in deep discount" (-20bps volume excluding deep discount). </w:t>
      </w:r>
      <w:r>
        <w:rPr>
          <w:rFonts w:ascii="Calibri" w:hAnsi="Calibri"/>
          <w:b/>
          <w:color w:val="525866"/>
          <w:sz w:val="22"/>
        </w:rPr>
        <w:t>MO Read-Through:</w:t>
      </w:r>
      <w:r>
        <w:rPr>
          <w:rFonts w:ascii="Calibri" w:hAnsi="Calibri"/>
          <w:color w:val="525866"/>
          <w:sz w:val="22"/>
        </w:rPr>
        <w:t xml:space="preserve"> Positive on pricing/profit; Negative on volume — BAT's experience of deep discount competitive pressure mirrors MO's Marlboro share headwinds from value-segment trade-down, validating the macro-driven discount share gain dynamic MO flagged in Q1.</w:t>
      </w:r>
    </w:p>
    <w:p>
      <w:pPr>
        <w:pStyle w:val="ListBullet"/>
        <w:ind w:left="360" w:hanging="360"/>
      </w:pPr>
      <w:r>
        <w:rPr>
          <w:rFonts w:ascii="Calibri" w:hAnsi="Calibri"/>
          <w:b/>
          <w:color w:val="525866"/>
          <w:sz w:val="22"/>
        </w:rPr>
        <w:t xml:space="preserve">Modern Oral (Velo Plus) — U.S. Share Gains: </w:t>
      </w:r>
      <w:r>
        <w:rPr>
          <w:rFonts w:ascii="Calibri" w:hAnsi="Calibri"/>
          <w:color w:val="525866"/>
          <w:sz w:val="22"/>
        </w:rPr>
        <w:t xml:space="preserve">BAT's Velo Plus is "delivering excellent results in the U.S., driving total volume share of Modern Oral +10.4 pts," with strong financial performance expected for H1 and FY. Modern Oral is described as the "fastest growing New Category." New Category revenue growth is "accelerating" with mid-teens growth expected for 2026. </w:t>
      </w:r>
      <w:r>
        <w:rPr>
          <w:rFonts w:ascii="Calibri" w:hAnsi="Calibri"/>
          <w:b/>
          <w:color w:val="525866"/>
          <w:sz w:val="22"/>
        </w:rPr>
        <w:t>MO Read-Through:</w:t>
      </w:r>
      <w:r>
        <w:rPr>
          <w:rFonts w:ascii="Calibri" w:hAnsi="Calibri"/>
          <w:color w:val="525866"/>
          <w:sz w:val="22"/>
        </w:rPr>
        <w:t xml:space="preserve"> Negative — Velo Plus's +10.4 pt share gain in Modern Oral represents a second significant competitive headwind for on! alongside ZYN, suggesting on!'s share has been under pressure from multiple directions during Q2.</w:t>
      </w:r>
    </w:p>
    <w:p>
      <w:pPr>
        <w:pStyle w:val="ListBullet"/>
        <w:ind w:left="360" w:hanging="360"/>
      </w:pPr>
      <w:r>
        <w:rPr>
          <w:rFonts w:ascii="Calibri" w:hAnsi="Calibri"/>
          <w:b/>
          <w:color w:val="525866"/>
          <w:sz w:val="22"/>
        </w:rPr>
        <w:t xml:space="preserve">U.S. Vapour (Vuse) — Value Share +4.2 pts: </w:t>
      </w:r>
      <w:r>
        <w:rPr>
          <w:rFonts w:ascii="Calibri" w:hAnsi="Calibri"/>
          <w:color w:val="525866"/>
          <w:sz w:val="22"/>
        </w:rPr>
        <w:t xml:space="preserve">BAT reported Vuse value share +4.2 pts in the U.S. with "strong U.S. financial performance in H1 and FY" and mid-single digit revenue growth expected. BAT welcomed "the FDA's recent prioritisation guidance as an important step toward effective enforcement." </w:t>
      </w:r>
      <w:r>
        <w:rPr>
          <w:rFonts w:ascii="Calibri" w:hAnsi="Calibri"/>
          <w:b/>
          <w:color w:val="525866"/>
          <w:sz w:val="22"/>
        </w:rPr>
        <w:t>MO Read-Through:</w:t>
      </w:r>
      <w:r>
        <w:rPr>
          <w:rFonts w:ascii="Calibri" w:hAnsi="Calibri"/>
          <w:color w:val="525866"/>
          <w:sz w:val="22"/>
        </w:rPr>
        <w:t xml:space="preserve"> Neutral to Positive — Vuse's growth in the authorized e-vapor market is consistent with MO's thesis that enforcement is normalizing the category; NJOY ACE's absence from the market means MO is not directly competing in this segment currently.</w:t>
      </w:r>
    </w:p>
    <w:p>
      <w:pPr>
        <w:pStyle w:val="ListBullet"/>
        <w:ind w:left="360" w:hanging="360"/>
      </w:pPr>
      <w:r>
        <w:rPr>
          <w:rFonts w:ascii="Calibri" w:hAnsi="Calibri"/>
          <w:b/>
          <w:color w:val="525866"/>
          <w:sz w:val="22"/>
        </w:rPr>
        <w:t xml:space="preserve">Global Cigarette Industry Volume: </w:t>
      </w:r>
      <w:r>
        <w:rPr>
          <w:rFonts w:ascii="Calibri" w:hAnsi="Calibri"/>
          <w:color w:val="525866"/>
          <w:sz w:val="22"/>
        </w:rPr>
        <w:t xml:space="preserve">BAT revised its global cigarette industry volume outlook to "down ~2.5%" (from prior ~2%), reflecting slightly worse-than-expected combustible volume trends globally. </w:t>
      </w:r>
      <w:r>
        <w:rPr>
          <w:rFonts w:ascii="Calibri" w:hAnsi="Calibri"/>
          <w:b/>
          <w:color w:val="525866"/>
          <w:sz w:val="22"/>
        </w:rPr>
        <w:t>MO Read-Through:</w:t>
      </w:r>
      <w:r>
        <w:rPr>
          <w:rFonts w:ascii="Calibri" w:hAnsi="Calibri"/>
          <w:color w:val="525866"/>
          <w:sz w:val="22"/>
        </w:rPr>
        <w:t xml:space="preserve"> Slightly Negative — while MO's U.S. market has been showing moderation in declines, the global trend revision suggests the macro environment for combustibles may be incrementally more challenging.</w:t>
      </w:r>
    </w:p>
    <w:p>
      <w:pPr>
        <w:pStyle w:val="Heading3"/>
      </w:pPr>
      <w:r>
        <w:rPr>
          <w:rFonts w:ascii="Calibri" w:hAnsi="Calibri"/>
          <w:b/>
          <w:color w:val="3B4259"/>
          <w:sz w:val="24"/>
        </w:rPr>
        <w:t>Philip Morris International (PM) — Q2 2026 Earnings Release (July 22, 2026)</w:t>
      </w:r>
    </w:p>
    <w:p>
      <w:r>
        <w:rPr>
          <w:rFonts w:ascii="Calibri" w:hAnsi="Calibri"/>
          <w:b/>
          <w:color w:val="525866"/>
          <w:sz w:val="22"/>
        </w:rPr>
        <w:t xml:space="preserve">Read-Through Direction: </w:t>
      </w:r>
      <w:r>
        <w:rPr>
          <w:rFonts w:ascii="Calibri" w:hAnsi="Calibri"/>
          <w:color w:val="525866"/>
          <w:sz w:val="22"/>
        </w:rPr>
        <w:t>Positive for MO (Category Demand)</w:t>
      </w:r>
    </w:p>
    <w:p>
      <w:pPr>
        <w:pStyle w:val="ListBullet"/>
        <w:ind w:left="360" w:hanging="360"/>
      </w:pPr>
      <w:r>
        <w:rPr>
          <w:rFonts w:ascii="Calibri" w:hAnsi="Calibri"/>
          <w:b/>
          <w:color w:val="525866"/>
          <w:sz w:val="22"/>
        </w:rPr>
        <w:t xml:space="preserve">U.S. Nicotine Pouch Category: </w:t>
      </w:r>
      <w:r>
        <w:rPr>
          <w:rFonts w:ascii="Calibri" w:hAnsi="Calibri"/>
          <w:color w:val="525866"/>
          <w:sz w:val="22"/>
        </w:rPr>
        <w:t xml:space="preserve">PM's earnings release confirmed the U.S. nicotine pouch category is "growing," with ZYN offtake "flat to slightly growing versus the prior year in a growing category, largely as a result of the uneven competitive landscape." ZYN shipments increased 1.8% to 2.9 billion pouches. </w:t>
      </w:r>
      <w:r>
        <w:rPr>
          <w:rFonts w:ascii="Calibri" w:hAnsi="Calibri"/>
          <w:b/>
          <w:color w:val="525866"/>
          <w:sz w:val="22"/>
        </w:rPr>
        <w:t>MO Read-Through:</w:t>
      </w:r>
      <w:r>
        <w:rPr>
          <w:rFonts w:ascii="Calibri" w:hAnsi="Calibri"/>
          <w:color w:val="525866"/>
          <w:sz w:val="22"/>
        </w:rPr>
        <w:t xml:space="preserve"> Positive — ZYN's flat-to-slightly-growing offtake in a growing category implies other brands (including on!) are capturing incremental category growth.</w:t>
      </w:r>
    </w:p>
    <w:p>
      <w:pPr>
        <w:pStyle w:val="ListBullet"/>
        <w:ind w:left="360" w:hanging="360"/>
      </w:pPr>
      <w:r>
        <w:rPr>
          <w:rFonts w:ascii="Calibri" w:hAnsi="Calibri"/>
          <w:b/>
          <w:color w:val="525866"/>
          <w:sz w:val="22"/>
        </w:rPr>
        <w:t xml:space="preserve">ZYN ULTRA Pricing Strategy: </w:t>
      </w:r>
      <w:r>
        <w:rPr>
          <w:rFonts w:ascii="Calibri" w:hAnsi="Calibri"/>
          <w:color w:val="525866"/>
          <w:sz w:val="22"/>
        </w:rPr>
        <w:t xml:space="preserve">PM expanded the ZYN portfolio in June 2026 with ZYN ULTRA at a "lower price-per-pouch" to "optimize ZYN's price premium, ensuring ZYN can effectively play in the most dynamic growing segments of the category." </w:t>
      </w:r>
      <w:r>
        <w:rPr>
          <w:rFonts w:ascii="Calibri" w:hAnsi="Calibri"/>
          <w:b/>
          <w:color w:val="525866"/>
          <w:sz w:val="22"/>
        </w:rPr>
        <w:t>MO Read-Through:</w:t>
      </w:r>
      <w:r>
        <w:rPr>
          <w:rFonts w:ascii="Calibri" w:hAnsi="Calibri"/>
          <w:color w:val="525866"/>
          <w:sz w:val="22"/>
        </w:rPr>
        <w:t xml:space="preserve"> Negative — ZYN's deliberate move to reduce its price premium directly targets the competitive space where on! has been gaining share.</w:t>
      </w:r>
    </w:p>
    <w:p>
      <w:pPr>
        <w:pStyle w:val="ListBullet"/>
        <w:ind w:left="360" w:hanging="360"/>
      </w:pPr>
      <w:r>
        <w:rPr>
          <w:rFonts w:ascii="Calibri" w:hAnsi="Calibri"/>
          <w:b/>
          <w:color w:val="525866"/>
          <w:sz w:val="22"/>
        </w:rPr>
        <w:t xml:space="preserve">U.S. Gross Profit Pressure: </w:t>
      </w:r>
      <w:r>
        <w:rPr>
          <w:rFonts w:ascii="Calibri" w:hAnsi="Calibri"/>
          <w:color w:val="525866"/>
          <w:sz w:val="22"/>
        </w:rPr>
        <w:t xml:space="preserve">PM's U.S. segment gross profit decreased 8.9% organically, reflecting higher manufacturing costs from the Colorado facility ramp-up. This is a PM-specific cost headwind, not a category-level demand signal. </w:t>
      </w:r>
      <w:r>
        <w:rPr>
          <w:rFonts w:ascii="Calibri" w:hAnsi="Calibri"/>
          <w:b/>
          <w:color w:val="525866"/>
          <w:sz w:val="22"/>
        </w:rPr>
        <w:t>MO Read-Through:</w:t>
      </w:r>
      <w:r>
        <w:rPr>
          <w:rFonts w:ascii="Calibri" w:hAnsi="Calibri"/>
          <w:color w:val="525866"/>
          <w:sz w:val="22"/>
        </w:rPr>
        <w:t xml:space="preserve"> Neutral — MO does not face the same manufacturing ramp-up costs.</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Event</w:t>
            </w:r>
          </w:p>
        </w:tc>
        <w:tc>
          <w:tcPr>
            <w:tcW w:type="dxa" w:w="1728"/>
            <w:shd w:val="clear" w:color="auto" w:fill="3B4259"/>
          </w:tcPr>
          <w:p>
            <w:r>
              <w:rPr>
                <w:rFonts w:ascii="Calibri" w:hAnsi="Calibri"/>
                <w:b/>
                <w:color w:val="FFFFFF"/>
                <w:sz w:val="22"/>
              </w:rPr>
              <w:t>Key Insight for MO</w:t>
            </w:r>
          </w:p>
        </w:tc>
        <w:tc>
          <w:tcPr>
            <w:tcW w:type="dxa" w:w="1728"/>
            <w:shd w:val="clear" w:color="auto" w:fill="3B4259"/>
          </w:tcPr>
          <w:p>
            <w:r>
              <w:rPr>
                <w:rFonts w:ascii="Calibri" w:hAnsi="Calibri"/>
                <w:b/>
                <w:color w:val="FFFFFF"/>
                <w:sz w:val="22"/>
              </w:rPr>
              <w:t>Read-Through</w:t>
            </w:r>
          </w:p>
        </w:tc>
      </w:tr>
      <w:tr>
        <w:tc>
          <w:tcPr>
            <w:tcW w:type="dxa" w:w="1728"/>
          </w:tcPr>
          <w:p>
            <w:r>
              <w:rPr>
                <w:rFonts w:ascii="Calibri" w:hAnsi="Calibri"/>
                <w:sz w:val="22"/>
              </w:rPr>
              <w:t>PM</w:t>
            </w:r>
          </w:p>
        </w:tc>
        <w:tc>
          <w:tcPr>
            <w:tcW w:type="dxa" w:w="1728"/>
          </w:tcPr>
          <w:p>
            <w:r>
              <w:rPr>
                <w:rFonts w:ascii="Calibri" w:hAnsi="Calibri"/>
                <w:sz w:val="22"/>
              </w:rPr>
              <w:t>Jul 22, 2026</w:t>
            </w:r>
          </w:p>
        </w:tc>
        <w:tc>
          <w:tcPr>
            <w:tcW w:type="dxa" w:w="1728"/>
          </w:tcPr>
          <w:p>
            <w:r>
              <w:rPr>
                <w:rFonts w:ascii="Calibri" w:hAnsi="Calibri"/>
                <w:sz w:val="22"/>
              </w:rPr>
              <w:t>Q2 2026 Earnings Call</w:t>
            </w:r>
          </w:p>
        </w:tc>
        <w:tc>
          <w:tcPr>
            <w:tcW w:type="dxa" w:w="1728"/>
          </w:tcPr>
          <w:p>
            <w:r>
              <w:rPr>
                <w:rFonts w:ascii="Calibri" w:hAnsi="Calibri"/>
                <w:sz w:val="22"/>
              </w:rPr>
              <w:t>U.S. nicotine pouch category growing; ZYN shipments +2% YoY; ZYN ULTRA launched; H2 U.S. investment acceleration; MRTP authorization for 20 ZYN SKUs</w:t>
            </w:r>
          </w:p>
        </w:tc>
        <w:tc>
          <w:tcPr>
            <w:tcW w:type="dxa" w:w="1728"/>
          </w:tcPr>
          <w:p>
            <w:r>
              <w:rPr>
                <w:rFonts w:ascii="Calibri" w:hAnsi="Calibri"/>
                <w:sz w:val="22"/>
              </w:rPr>
              <w:t>Mixed (category growth ⊕, ZYN competitive intensity ⊖)</w:t>
            </w:r>
          </w:p>
        </w:tc>
      </w:tr>
      <w:tr>
        <w:tc>
          <w:tcPr>
            <w:tcW w:type="dxa" w:w="1728"/>
          </w:tcPr>
          <w:p>
            <w:r>
              <w:rPr>
                <w:rFonts w:ascii="Calibri" w:hAnsi="Calibri"/>
                <w:sz w:val="22"/>
              </w:rPr>
              <w:t>PM</w:t>
            </w:r>
          </w:p>
        </w:tc>
        <w:tc>
          <w:tcPr>
            <w:tcW w:type="dxa" w:w="1728"/>
          </w:tcPr>
          <w:p>
            <w:r>
              <w:rPr>
                <w:rFonts w:ascii="Calibri" w:hAnsi="Calibri"/>
                <w:sz w:val="22"/>
              </w:rPr>
              <w:t>Jul 22, 2026</w:t>
            </w:r>
          </w:p>
        </w:tc>
        <w:tc>
          <w:tcPr>
            <w:tcW w:type="dxa" w:w="1728"/>
          </w:tcPr>
          <w:p>
            <w:r>
              <w:rPr>
                <w:rFonts w:ascii="Calibri" w:hAnsi="Calibri"/>
                <w:sz w:val="22"/>
              </w:rPr>
              <w:t>Q2 2026 Earnings Release</w:t>
            </w:r>
          </w:p>
        </w:tc>
        <w:tc>
          <w:tcPr>
            <w:tcW w:type="dxa" w:w="1728"/>
          </w:tcPr>
          <w:p>
            <w:r>
              <w:rPr>
                <w:rFonts w:ascii="Calibri" w:hAnsi="Calibri"/>
                <w:sz w:val="22"/>
              </w:rPr>
              <w:t>ZYN offtake flat-to-slightly growing in growing category; ZYN ULTRA at lower price-per-pouch; U.S. gross profit -8.9% organic (manufacturing costs)</w:t>
            </w:r>
          </w:p>
        </w:tc>
        <w:tc>
          <w:tcPr>
            <w:tcW w:type="dxa" w:w="1728"/>
          </w:tcPr>
          <w:p>
            <w:r>
              <w:rPr>
                <w:rFonts w:ascii="Calibri" w:hAnsi="Calibri"/>
                <w:sz w:val="22"/>
              </w:rPr>
              <w:t>Positive (category demand)</w:t>
            </w:r>
          </w:p>
        </w:tc>
      </w:tr>
      <w:tr>
        <w:tc>
          <w:tcPr>
            <w:tcW w:type="dxa" w:w="1728"/>
          </w:tcPr>
          <w:p>
            <w:r>
              <w:rPr>
                <w:rFonts w:ascii="Calibri" w:hAnsi="Calibri"/>
                <w:sz w:val="22"/>
              </w:rPr>
              <w:t>BTI</w:t>
            </w:r>
          </w:p>
        </w:tc>
        <w:tc>
          <w:tcPr>
            <w:tcW w:type="dxa" w:w="1728"/>
          </w:tcPr>
          <w:p>
            <w:r>
              <w:rPr>
                <w:rFonts w:ascii="Calibri" w:hAnsi="Calibri"/>
                <w:sz w:val="22"/>
              </w:rPr>
              <w:t>Jul 1, 2026</w:t>
            </w:r>
          </w:p>
        </w:tc>
        <w:tc>
          <w:tcPr>
            <w:tcW w:type="dxa" w:w="1728"/>
          </w:tcPr>
          <w:p>
            <w:r>
              <w:rPr>
                <w:rFonts w:ascii="Calibri" w:hAnsi="Calibri"/>
                <w:sz w:val="22"/>
              </w:rPr>
              <w:t>H1 2026 Trading Update</w:t>
            </w:r>
          </w:p>
        </w:tc>
        <w:tc>
          <w:tcPr>
            <w:tcW w:type="dxa" w:w="1728"/>
          </w:tcPr>
          <w:p>
            <w:r>
              <w:rPr>
                <w:rFonts w:ascii="Calibri" w:hAnsi="Calibri"/>
                <w:sz w:val="22"/>
              </w:rPr>
              <w:t>Strong U.S. combustible revenue/profit growth; Velo Plus Modern Oral share +10.4 pts; deep discount competitive pressure on combustible volumes; global cig. volume revised to -2.5%</w:t>
            </w:r>
          </w:p>
        </w:tc>
        <w:tc>
          <w:tcPr>
            <w:tcW w:type="dxa" w:w="1728"/>
          </w:tcPr>
          <w:p>
            <w:r>
              <w:rPr>
                <w:rFonts w:ascii="Calibri" w:hAnsi="Calibri"/>
                <w:sz w:val="22"/>
              </w:rPr>
              <w:t>Mixed (combustible pricing ⊕, on! share pressure ⊖)</w:t>
            </w:r>
          </w:p>
        </w:tc>
      </w:tr>
      <w:tr>
        <w:tc>
          <w:tcPr>
            <w:tcW w:type="dxa" w:w="1728"/>
          </w:tcPr>
          <w:p>
            <w:r>
              <w:rPr>
                <w:rFonts w:ascii="Calibri" w:hAnsi="Calibri"/>
                <w:sz w:val="22"/>
              </w:rPr>
              <w:t>PM</w:t>
            </w:r>
          </w:p>
        </w:tc>
        <w:tc>
          <w:tcPr>
            <w:tcW w:type="dxa" w:w="1728"/>
          </w:tcPr>
          <w:p>
            <w:r>
              <w:rPr>
                <w:rFonts w:ascii="Calibri" w:hAnsi="Calibri"/>
                <w:sz w:val="22"/>
              </w:rPr>
              <w:t>Jun 2, 2026</w:t>
            </w:r>
          </w:p>
        </w:tc>
        <w:tc>
          <w:tcPr>
            <w:tcW w:type="dxa" w:w="1728"/>
          </w:tcPr>
          <w:p>
            <w:r>
              <w:rPr>
                <w:rFonts w:ascii="Calibri" w:hAnsi="Calibri"/>
                <w:sz w:val="22"/>
              </w:rPr>
              <w:t>Deutsche Bank Consumer Conference</w:t>
            </w:r>
          </w:p>
        </w:tc>
        <w:tc>
          <w:tcPr>
            <w:tcW w:type="dxa" w:w="1728"/>
          </w:tcPr>
          <w:p>
            <w:r>
              <w:rPr>
                <w:rFonts w:ascii="Calibri" w:hAnsi="Calibri"/>
                <w:sz w:val="22"/>
              </w:rPr>
              <w:t>U.S. pouch category growing 20–30%; ZYN ULTRA shipments beginning; ZYN share pressure from portfolio gaps; regulated market pathway positive for category</w:t>
            </w:r>
          </w:p>
        </w:tc>
        <w:tc>
          <w:tcPr>
            <w:tcW w:type="dxa" w:w="1728"/>
          </w:tcPr>
          <w:p>
            <w:r>
              <w:rPr>
                <w:rFonts w:ascii="Calibri" w:hAnsi="Calibri"/>
                <w:sz w:val="22"/>
              </w:rPr>
              <w:t>Mixed (category growth ⊕, ZYN ULTRA launch ⊖)</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two open-market sales by directors were filed in the post-Q1 window (both on May 26, 2026), both discretionary and relatively small in size; no open-market buys and no 10b5-1 plan initiations were filed. The absence of insider buying is not unusual for a high-yield income stock where insiders typically hold for dividend income, but the lack of any buy signal is not a positive catalyst.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Debra J. Kelly-Ennis</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5,790</w:t>
            </w:r>
          </w:p>
        </w:tc>
        <w:tc>
          <w:tcPr>
            <w:tcW w:type="dxa" w:w="1234"/>
          </w:tcPr>
          <w:p>
            <w:r>
              <w:rPr>
                <w:rFonts w:ascii="Calibri" w:hAnsi="Calibri"/>
                <w:sz w:val="22"/>
              </w:rPr>
              <w:t>~$419K (est. at ~$72.37 close)</w:t>
            </w:r>
          </w:p>
        </w:tc>
        <w:tc>
          <w:tcPr>
            <w:tcW w:type="dxa" w:w="1234"/>
          </w:tcPr>
          <w:p>
            <w:r>
              <w:rPr>
                <w:rFonts w:ascii="Calibri" w:hAnsi="Calibri"/>
                <w:sz w:val="22"/>
              </w:rPr>
              <w:t>May 26, 2026</w:t>
            </w:r>
          </w:p>
        </w:tc>
        <w:tc>
          <w:tcPr>
            <w:tcW w:type="dxa" w:w="1234"/>
          </w:tcPr>
          <w:p>
            <w:r>
              <w:rPr>
                <w:rFonts w:ascii="Calibri" w:hAnsi="Calibri"/>
                <w:sz w:val="22"/>
              </w:rPr>
              <w:t>Discretionary sale; 73,809 shares retained post-transaction. No 10b5-1 plan indicated.</w:t>
            </w:r>
          </w:p>
        </w:tc>
      </w:tr>
      <w:tr>
        <w:tc>
          <w:tcPr>
            <w:tcW w:type="dxa" w:w="1234"/>
          </w:tcPr>
          <w:p>
            <w:r>
              <w:rPr>
                <w:rFonts w:ascii="Calibri" w:hAnsi="Calibri"/>
                <w:sz w:val="22"/>
              </w:rPr>
              <w:t>Ellen R. Strahlman</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2,000</w:t>
            </w:r>
          </w:p>
        </w:tc>
        <w:tc>
          <w:tcPr>
            <w:tcW w:type="dxa" w:w="1234"/>
          </w:tcPr>
          <w:p>
            <w:r>
              <w:rPr>
                <w:rFonts w:ascii="Calibri" w:hAnsi="Calibri"/>
                <w:sz w:val="22"/>
              </w:rPr>
              <w:t>~$145K (est. at ~$72.37 close)</w:t>
            </w:r>
          </w:p>
        </w:tc>
        <w:tc>
          <w:tcPr>
            <w:tcW w:type="dxa" w:w="1234"/>
          </w:tcPr>
          <w:p>
            <w:r>
              <w:rPr>
                <w:rFonts w:ascii="Calibri" w:hAnsi="Calibri"/>
                <w:sz w:val="22"/>
              </w:rPr>
              <w:t>May 26, 2026</w:t>
            </w:r>
          </w:p>
        </w:tc>
        <w:tc>
          <w:tcPr>
            <w:tcW w:type="dxa" w:w="1234"/>
          </w:tcPr>
          <w:p>
            <w:r>
              <w:rPr>
                <w:rFonts w:ascii="Calibri" w:hAnsi="Calibri"/>
                <w:sz w:val="22"/>
              </w:rPr>
              <w:t>Discretionary sale; 25,102 shares retained post-transaction. No 10b5-1 plan indicated.</w:t>
            </w:r>
          </w:p>
        </w:tc>
      </w:tr>
    </w:tbl>
    <w:p>
      <w:r>
        <w:rPr>
          <w:rFonts w:ascii="Calibri" w:hAnsi="Calibri"/>
          <w:color w:val="525866"/>
          <w:sz w:val="22"/>
        </w:rPr>
        <w:t>Coverage window: April 30, 2026 – July 29, 2026 (Form 4 filing date). Open-market buys (code P) and open-market sells (code S) only. No executive officer transactions (CEO, CFO, or other named officers) were filed in this window. Both transactions are director-level discretionary sales of modest size and do not represent a meaningful insider signal in either direction.</w:t>
      </w:r>
    </w:p>
    <w:p>
      <w:r>
        <w:rPr>
          <w:rFonts w:ascii="Calibri" w:hAnsi="Calibri"/>
          <w:i/>
          <w:color w:val="525866"/>
          <w:sz w:val="22"/>
        </w:rPr>
        <w:t>Source: SEC Form 4 filings database.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