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mpwr-q2-2026-earnings-preview"/>
    <w:p>
      <w:pPr>
        <w:pStyle w:val="Heading1"/>
      </w:pPr>
      <w:r>
        <w:t xml:space="preserve">MPWR Q2 2026 Earnings Preview</w:t>
      </w:r>
    </w:p>
    <w:p>
      <w:pPr>
        <w:pStyle w:val="FirstParagraph"/>
      </w:pPr>
      <w:r>
        <w:rPr>
          <w:b/>
          <w:bCs/>
        </w:rPr>
        <w:t xml:space="preserve">Report:</w:t>
      </w:r>
      <w:r>
        <w:t xml:space="preserve"> </w:t>
      </w:r>
      <w:r>
        <w:t xml:space="preserve">Thursday, July 30, 2026, after the close</w:t>
      </w:r>
      <w:r>
        <w:br/>
      </w:r>
      <w:r>
        <w:rPr>
          <w:b/>
          <w:bCs/>
        </w:rPr>
        <w:t xml:space="preserve">Core issue:</w:t>
      </w:r>
      <w:r>
        <w:t xml:space="preserve"> </w:t>
      </w:r>
      <w:r>
        <w:t xml:space="preserve">The quarter itself should be strong. The more important question is whether management’s Q3 outlook confirms that AI power demand is still accelerating fast enough to support MPWR’s premium valuation.</w:t>
      </w:r>
    </w:p>
    <w:bookmarkStart w:id="10" w:name="executive-view"/>
    <w:p>
      <w:pPr>
        <w:pStyle w:val="Heading2"/>
      </w:pPr>
      <w:r>
        <w:t xml:space="preserve">Executive view</w:t>
      </w:r>
    </w:p>
    <w:p>
      <w:pPr>
        <w:pStyle w:val="FirstParagraph"/>
      </w:pPr>
      <w:r>
        <w:t xml:space="preserve">MPWR entered Q2 with unusually strong visibility. Management guided revenue to</w:t>
      </w:r>
      <w:r>
        <w:t xml:space="preserve"> </w:t>
      </w:r>
      <m:oMath>
        <m:r>
          <m:t>890</m:t>
        </m:r>
        <m:r>
          <m:t>m</m:t>
        </m:r>
        <m:r>
          <m:t>i</m:t>
        </m:r>
        <m:r>
          <m:t>l</m:t>
        </m:r>
        <m:r>
          <m:t>l</m:t>
        </m:r>
        <m:r>
          <m:t>i</m:t>
        </m:r>
        <m:r>
          <m:t>o</m:t>
        </m:r>
        <m:r>
          <m:t>n</m:t>
        </m:r>
        <m:r>
          <m:rPr>
            <m:sty m:val="p"/>
          </m:rPr>
          <m:t>–</m:t>
        </m:r>
      </m:oMath>
      <w:r>
        <w:rPr>
          <w:b/>
          <w:bCs/>
        </w:rPr>
        <w:t xml:space="preserve">910 million</w:t>
      </w:r>
      <w:r>
        <w:t xml:space="preserve">, implying approximately</w:t>
      </w:r>
      <w:r>
        <w:t xml:space="preserve"> </w:t>
      </w:r>
      <w:r>
        <w:rPr>
          <w:b/>
          <w:bCs/>
        </w:rPr>
        <w:t xml:space="preserve">12% sequential growth and 35% year-over-year growth</w:t>
      </w:r>
      <w:r>
        <w:t xml:space="preserve"> </w:t>
      </w:r>
      <w:r>
        <w:t xml:space="preserve">at the midpoint. It also raised its full-year Enterprise Data growth floor to roughly</w:t>
      </w:r>
      <w:r>
        <w:t xml:space="preserve"> </w:t>
      </w:r>
      <w:r>
        <w:rPr>
          <w:b/>
          <w:bCs/>
        </w:rPr>
        <w:t xml:space="preserve">85%</w:t>
      </w:r>
      <w:r>
        <w:t xml:space="preserve">, citing backlog and extended ordering patterns rather than a change in underlying assumptions. (</w:t>
      </w:r>
      <w:hyperlink r:id="rId9">
        <w:r>
          <w:rPr>
            <w:rStyle w:val="Hyperlink"/>
          </w:rPr>
          <w:t xml:space="preserve">monolithicpower.com</w:t>
        </w:r>
      </w:hyperlink>
      <w:r>
        <w:t xml:space="preserve">)</w:t>
      </w:r>
    </w:p>
    <w:p>
      <w:pPr>
        <w:pStyle w:val="BodyText"/>
      </w:pPr>
      <w:r>
        <w:t xml:space="preserve">The reported consensus is already near the upper half of guidance, so a routine in-range result may not be enough to drive the stock. Investors should focus on:</w:t>
      </w:r>
    </w:p>
    <w:p>
      <w:pPr>
        <w:pStyle w:val="Compact"/>
        <w:numPr>
          <w:ilvl w:val="0"/>
          <w:numId w:val="1001"/>
        </w:numPr>
      </w:pPr>
      <w:r>
        <w:rPr>
          <w:b/>
          <w:bCs/>
        </w:rPr>
        <w:t xml:space="preserve">Q3 revenue guidance relative to roughly $978 million</w:t>
      </w:r>
    </w:p>
    <w:p>
      <w:pPr>
        <w:pStyle w:val="Compact"/>
        <w:numPr>
          <w:ilvl w:val="0"/>
          <w:numId w:val="1001"/>
        </w:numPr>
      </w:pPr>
      <w:r>
        <w:rPr>
          <w:b/>
          <w:bCs/>
        </w:rPr>
        <w:t xml:space="preserve">Whether Enterprise Data growth remains broad-based across AI accelerators, CPUs and custom silicon</w:t>
      </w:r>
    </w:p>
    <w:p>
      <w:pPr>
        <w:pStyle w:val="Compact"/>
        <w:numPr>
          <w:ilvl w:val="0"/>
          <w:numId w:val="1001"/>
        </w:numPr>
      </w:pPr>
      <w:r>
        <w:rPr>
          <w:b/>
          <w:bCs/>
        </w:rPr>
        <w:t xml:space="preserve">Continued strength in optical modules and networking switches</w:t>
      </w:r>
    </w:p>
    <w:p>
      <w:pPr>
        <w:pStyle w:val="Compact"/>
        <w:numPr>
          <w:ilvl w:val="0"/>
          <w:numId w:val="1001"/>
        </w:numPr>
      </w:pPr>
      <w:r>
        <w:rPr>
          <w:b/>
          <w:bCs/>
        </w:rPr>
        <w:t xml:space="preserve">Gross-margin progress despite a growing module mix</w:t>
      </w:r>
    </w:p>
    <w:p>
      <w:pPr>
        <w:pStyle w:val="Compact"/>
        <w:numPr>
          <w:ilvl w:val="0"/>
          <w:numId w:val="1001"/>
        </w:numPr>
      </w:pPr>
      <w:r>
        <w:rPr>
          <w:b/>
          <w:bCs/>
        </w:rPr>
        <w:t xml:space="preserve">Evidence that inventory and capacity expansion are supporting real demand rather than getting ahead of it</w:t>
      </w:r>
    </w:p>
    <w:p>
      <w:pPr>
        <w:pStyle w:val="FirstParagraph"/>
      </w:pPr>
      <w:r>
        <w:t xml:space="preserve">My base case is a modest Q2 beat with guidance around or somewhat above consensus. The bullish outcome requires management to raise the Enterprise Data outlook again or guide Q3 clearly above the current Street baseline.</w:t>
      </w:r>
    </w:p>
    <w:p>
      <w:r>
        <w:pict>
          <v:rect style="width:0;height:1.5pt" o:hralign="center" o:hrstd="t" o:hr="t"/>
        </w:pict>
      </w:r>
    </w:p>
    <w:bookmarkEnd w:id="10"/>
    <w:bookmarkStart w:id="11" w:name="expectations-and-financial-setup"/>
    <w:p>
      <w:pPr>
        <w:pStyle w:val="Heading2"/>
      </w:pPr>
      <w:r>
        <w:t xml:space="preserve">Expectations and financial setup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Q2 company outlook</w:t>
            </w:r>
          </w:p>
        </w:tc>
        <w:tc>
          <w:tcPr/>
          <w:p>
            <w:pPr>
              <w:pStyle w:val="Compact"/>
              <w:jc w:val="right"/>
            </w:pPr>
            <w:r>
              <w:t xml:space="preserve">Current consensus</w:t>
            </w:r>
          </w:p>
        </w:tc>
      </w:tr>
      <w:tr>
        <w:tc>
          <w:tcPr/>
          <w:p>
            <w:pPr>
              <w:pStyle w:val="Compact"/>
            </w:pPr>
            <w:r>
              <w:t xml:space="preserve">Revenue</w:t>
            </w:r>
          </w:p>
        </w:tc>
        <w:tc>
          <w:tcPr/>
          <w:p>
            <w:pPr>
              <w:pStyle w:val="Compact"/>
              <w:jc w:val="right"/>
            </w:pPr>
            <w:r>
              <w:t xml:space="preserve">$804.2M</w:t>
            </w:r>
          </w:p>
        </w:tc>
        <w:tc>
          <w:tcPr/>
          <w:p>
            <w:pPr>
              <w:pStyle w:val="Compact"/>
              <w:jc w:val="right"/>
            </w:pPr>
            <m:oMath>
              <m:r>
                <m:t>890</m:t>
              </m:r>
              <m:r>
                <m:t>M</m:t>
              </m:r>
              <m:r>
                <m:rPr>
                  <m:sty m:val="p"/>
                </m:rPr>
                <m:t>–</m:t>
              </m:r>
            </m:oMath>
            <w:r>
              <w:t xml:space="preserve">910M</w:t>
            </w:r>
          </w:p>
        </w:tc>
        <w:tc>
          <w:tcPr/>
          <w:p>
            <w:pPr>
              <w:pStyle w:val="Compact"/>
              <w:jc w:val="right"/>
            </w:pPr>
            <w:r>
              <w:t xml:space="preserve">~$903.7M</w:t>
            </w:r>
          </w:p>
        </w:tc>
      </w:tr>
      <w:tr>
        <w:tc>
          <w:tcPr/>
          <w:p>
            <w:pPr>
              <w:pStyle w:val="Compact"/>
            </w:pPr>
            <w:r>
              <w:t xml:space="preserve">Non-GAAP EPS</w:t>
            </w:r>
          </w:p>
        </w:tc>
        <w:tc>
          <w:tcPr/>
          <w:p>
            <w:pPr>
              <w:pStyle w:val="Compact"/>
              <w:jc w:val="right"/>
            </w:pPr>
            <w:r>
              <w:t xml:space="preserve">$5.10</w:t>
            </w:r>
          </w:p>
        </w:tc>
        <w:tc>
          <w:tcPr/>
          <w:p>
            <w:pPr>
              <w:pStyle w:val="Compact"/>
              <w:jc w:val="right"/>
            </w:pPr>
            <w:r>
              <w:t xml:space="preserve">Not explicitly guided</w:t>
            </w:r>
          </w:p>
        </w:tc>
        <w:tc>
          <w:tcPr/>
          <w:p>
            <w:pPr>
              <w:pStyle w:val="Compact"/>
              <w:jc w:val="right"/>
            </w:pPr>
            <w:r>
              <w:t xml:space="preserve">~$5.88</w:t>
            </w:r>
          </w:p>
        </w:tc>
      </w:tr>
      <w:tr>
        <w:tc>
          <w:tcPr/>
          <w:p>
            <w:pPr>
              <w:pStyle w:val="Compact"/>
            </w:pPr>
            <w:r>
              <w:t xml:space="preserve">Non-GAAP gross margin</w:t>
            </w:r>
          </w:p>
        </w:tc>
        <w:tc>
          <w:tcPr/>
          <w:p>
            <w:pPr>
              <w:pStyle w:val="Compact"/>
              <w:jc w:val="right"/>
            </w:pPr>
            <w:r>
              <w:t xml:space="preserve">55.5%</w:t>
            </w:r>
          </w:p>
        </w:tc>
        <w:tc>
          <w:tcPr/>
          <w:p>
            <w:pPr>
              <w:pStyle w:val="Compact"/>
              <w:jc w:val="right"/>
            </w:pPr>
            <w:r>
              <w:t xml:space="preserve">55.3%–55.9%</w:t>
            </w:r>
          </w:p>
        </w:tc>
        <w:tc>
          <w:tcPr/>
          <w:p>
            <w:pPr>
              <w:pStyle w:val="Compact"/>
              <w:jc w:val="right"/>
            </w:pPr>
            <w:r>
              <w:t xml:space="preserve">—</w:t>
            </w:r>
          </w:p>
        </w:tc>
      </w:tr>
      <w:tr>
        <w:tc>
          <w:tcPr/>
          <w:p>
            <w:pPr>
              <w:pStyle w:val="Compact"/>
            </w:pPr>
            <w:r>
              <w:t xml:space="preserve">Non-GAAP operating expenses</w:t>
            </w:r>
          </w:p>
        </w:tc>
        <w:tc>
          <w:tcPr/>
          <w:p>
            <w:pPr>
              <w:pStyle w:val="Compact"/>
              <w:jc w:val="right"/>
            </w:pPr>
            <w:r>
              <w:t xml:space="preserve">$158.3M</w:t>
            </w:r>
          </w:p>
        </w:tc>
        <w:tc>
          <w:tcPr/>
          <w:p>
            <w:pPr>
              <w:pStyle w:val="Compact"/>
              <w:jc w:val="right"/>
            </w:pPr>
            <m:oMath>
              <m:r>
                <m:t>167</m:t>
              </m:r>
              <m:r>
                <m:t>M</m:t>
              </m:r>
              <m:r>
                <m:rPr>
                  <m:sty m:val="p"/>
                </m:rPr>
                <m:t>–</m:t>
              </m:r>
            </m:oMath>
            <w:r>
              <w:t xml:space="preserve">171M</w:t>
            </w:r>
          </w:p>
        </w:tc>
        <w:tc>
          <w:tcPr/>
          <w:p>
            <w:pPr>
              <w:pStyle w:val="Compact"/>
              <w:jc w:val="right"/>
            </w:pPr>
            <w:r>
              <w:t xml:space="preserve">—</w:t>
            </w:r>
          </w:p>
        </w:tc>
      </w:tr>
      <w:tr>
        <w:tc>
          <w:tcPr/>
          <w:p>
            <w:pPr>
              <w:pStyle w:val="Compact"/>
            </w:pPr>
            <w:r>
              <w:t xml:space="preserve">Q3 revenue</w:t>
            </w:r>
          </w:p>
        </w:tc>
        <w:tc>
          <w:tcPr/>
          <w:p>
            <w:pPr>
              <w:pStyle w:val="Compact"/>
              <w:jc w:val="right"/>
            </w:pPr>
            <w:r>
              <w:t xml:space="preserve">—</w:t>
            </w:r>
          </w:p>
        </w:tc>
        <w:tc>
          <w:tcPr/>
          <w:p>
            <w:pPr>
              <w:pStyle w:val="Compact"/>
              <w:jc w:val="right"/>
            </w:pPr>
            <w:r>
              <w:t xml:space="preserve">To be issued</w:t>
            </w:r>
          </w:p>
        </w:tc>
        <w:tc>
          <w:tcPr/>
          <w:p>
            <w:pPr>
              <w:pStyle w:val="Compact"/>
              <w:jc w:val="right"/>
            </w:pPr>
            <w:r>
              <w:t xml:space="preserve">~$978M</w:t>
            </w:r>
          </w:p>
        </w:tc>
      </w:tr>
      <w:tr>
        <w:tc>
          <w:tcPr/>
          <w:p>
            <w:pPr>
              <w:pStyle w:val="Compact"/>
            </w:pPr>
            <w:r>
              <w:t xml:space="preserve">Q3 non-GAAP EPS</w:t>
            </w:r>
          </w:p>
        </w:tc>
        <w:tc>
          <w:tcPr/>
          <w:p>
            <w:pPr>
              <w:pStyle w:val="Compact"/>
              <w:jc w:val="right"/>
            </w:pPr>
            <w:r>
              <w:t xml:space="preserve">—</w:t>
            </w:r>
          </w:p>
        </w:tc>
        <w:tc>
          <w:tcPr/>
          <w:p>
            <w:pPr>
              <w:pStyle w:val="Compact"/>
              <w:jc w:val="right"/>
            </w:pPr>
            <w:r>
              <w:t xml:space="preserve">To be issued</w:t>
            </w:r>
          </w:p>
        </w:tc>
        <w:tc>
          <w:tcPr/>
          <w:p>
            <w:pPr>
              <w:pStyle w:val="Compact"/>
              <w:jc w:val="right"/>
            </w:pPr>
            <w:r>
              <w:t xml:space="preserve">~$6.43</w:t>
            </w:r>
          </w:p>
        </w:tc>
      </w:tr>
    </w:tbl>
    <w:p>
      <w:pPr>
        <w:pStyle w:val="BodyText"/>
      </w:pPr>
      <w:r>
        <w:t xml:space="preserve">The midpoint of MPWR’s revenue, gross-margin, operating-expense, interest-income, tax and share-count guidance mathematically implies approximately</w:t>
      </w:r>
      <w:r>
        <w:t xml:space="preserve"> </w:t>
      </w:r>
      <w:r>
        <w:rPr>
          <w:b/>
          <w:bCs/>
        </w:rPr>
        <w:t xml:space="preserve">$5.84 of non-GAAP EPS</w:t>
      </w:r>
      <w:r>
        <w:t xml:space="preserve">, almost exactly in line with consensus. In other words, the Street is not assuming a large Q2 earnings surprise; the setup is primarily about Q3. (</w:t>
      </w:r>
      <w:hyperlink r:id="rId9">
        <w:r>
          <w:rPr>
            <w:rStyle w:val="Hyperlink"/>
          </w:rPr>
          <w:t xml:space="preserve">monolithicpower.com</w:t>
        </w:r>
      </w:hyperlink>
      <w:r>
        <w:t xml:space="preserve">)</w:t>
      </w:r>
    </w:p>
    <w:p>
      <w:pPr>
        <w:pStyle w:val="BodyText"/>
      </w:pPr>
      <w:r>
        <w:t xml:space="preserve">Q3 consensus of roughly</w:t>
      </w:r>
      <w:r>
        <w:t xml:space="preserve"> </w:t>
      </w:r>
      <w:r>
        <w:rPr>
          <w:b/>
          <w:bCs/>
        </w:rPr>
        <w:t xml:space="preserve">$978 million</w:t>
      </w:r>
      <w:r>
        <w:t xml:space="preserve"> </w:t>
      </w:r>
      <w:r>
        <w:t xml:space="preserve">represents about</w:t>
      </w:r>
      <w:r>
        <w:t xml:space="preserve"> </w:t>
      </w:r>
      <w:r>
        <w:rPr>
          <w:b/>
          <w:bCs/>
        </w:rPr>
        <w:t xml:space="preserve">8% sequential growth and 33% year-over-year growth</w:t>
      </w:r>
      <w:r>
        <w:t xml:space="preserve">. Given MPWR’s recent momentum, guidance merely matching that figure could be received as acceptable but not necessarily thesis-enhancing.</w:t>
      </w:r>
    </w:p>
    <w:p>
      <w:r>
        <w:pict>
          <v:rect style="width:0;height:1.5pt" o:hralign="center" o:hrstd="t" o:hr="t"/>
        </w:pict>
      </w:r>
    </w:p>
    <w:bookmarkEnd w:id="11"/>
    <w:bookmarkStart w:id="14" w:name="the-main-engine-enterprise-data"/>
    <w:p>
      <w:pPr>
        <w:pStyle w:val="Heading2"/>
      </w:pPr>
      <w:r>
        <w:t xml:space="preserve">The main engine: Enterprise Data</w:t>
      </w:r>
    </w:p>
    <w:p>
      <w:pPr>
        <w:pStyle w:val="FirstParagraph"/>
      </w:pPr>
      <w:r>
        <w:t xml:space="preserve">Enterprise Data was already MPWR’s largest segment in Q1:</w:t>
      </w:r>
    </w:p>
    <w:p>
      <w:pPr>
        <w:pStyle w:val="Compact"/>
        <w:numPr>
          <w:ilvl w:val="0"/>
          <w:numId w:val="1002"/>
        </w:numPr>
      </w:pPr>
      <w:r>
        <w:t xml:space="preserve">Revenue of</w:t>
      </w:r>
      <w:r>
        <w:t xml:space="preserve"> </w:t>
      </w:r>
      <w:r>
        <w:rPr>
          <w:b/>
          <w:bCs/>
        </w:rPr>
        <w:t xml:space="preserve">$262.8 million</w:t>
      </w:r>
    </w:p>
    <w:p>
      <w:pPr>
        <w:pStyle w:val="Compact"/>
        <w:numPr>
          <w:ilvl w:val="0"/>
          <w:numId w:val="1002"/>
        </w:numPr>
      </w:pPr>
      <w:r>
        <w:t xml:space="preserve">Up</w:t>
      </w:r>
      <w:r>
        <w:t xml:space="preserve"> </w:t>
      </w:r>
      <w:r>
        <w:rPr>
          <w:b/>
          <w:bCs/>
        </w:rPr>
        <w:t xml:space="preserve">12.6% sequentially</w:t>
      </w:r>
    </w:p>
    <w:p>
      <w:pPr>
        <w:pStyle w:val="Compact"/>
        <w:numPr>
          <w:ilvl w:val="0"/>
          <w:numId w:val="1002"/>
        </w:numPr>
      </w:pPr>
      <w:r>
        <w:t xml:space="preserve">Up</w:t>
      </w:r>
      <w:r>
        <w:t xml:space="preserve"> </w:t>
      </w:r>
      <w:r>
        <w:rPr>
          <w:b/>
          <w:bCs/>
        </w:rPr>
        <w:t xml:space="preserve">97.7% year over year</w:t>
      </w:r>
    </w:p>
    <w:p>
      <w:pPr>
        <w:pStyle w:val="Compact"/>
        <w:numPr>
          <w:ilvl w:val="0"/>
          <w:numId w:val="1002"/>
        </w:numPr>
      </w:pPr>
      <w:r>
        <w:t xml:space="preserve">Approximately</w:t>
      </w:r>
      <w:r>
        <w:t xml:space="preserve"> </w:t>
      </w:r>
      <w:r>
        <w:rPr>
          <w:b/>
          <w:bCs/>
        </w:rPr>
        <w:t xml:space="preserve">33% of total company revenue</w:t>
      </w:r>
    </w:p>
    <w:p>
      <w:pPr>
        <w:pStyle w:val="FirstParagraph"/>
      </w:pPr>
      <w:r>
        <w:t xml:space="preserve">Management attributed the growth to power solutions for both AI and conventional server applications. It subsequently raised its 2026 Enterprise Data growth floor from 50% to approximately</w:t>
      </w:r>
      <w:r>
        <w:t xml:space="preserve"> </w:t>
      </w:r>
      <w:r>
        <w:rPr>
          <w:b/>
          <w:bCs/>
        </w:rPr>
        <w:t xml:space="preserve">85%</w:t>
      </w:r>
      <w:r>
        <w:t xml:space="preserve">, based on stronger backlog visibility and continued ordering patterns. (</w:t>
      </w:r>
      <w:hyperlink r:id="rId9">
        <w:r>
          <w:rPr>
            <w:rStyle w:val="Hyperlink"/>
          </w:rPr>
          <w:t xml:space="preserve">monolithicpower.com</w:t>
        </w:r>
      </w:hyperlink>
      <w:r>
        <w:t xml:space="preserve">)</w:t>
      </w:r>
    </w:p>
    <w:p>
      <w:pPr>
        <w:pStyle w:val="BodyText"/>
      </w:pPr>
      <w:r>
        <w:t xml:space="preserve">Current segment estimates call for approximately</w:t>
      </w:r>
      <w:r>
        <w:t xml:space="preserve"> </w:t>
      </w:r>
      <w:r>
        <w:rPr>
          <w:b/>
          <w:bCs/>
        </w:rPr>
        <w:t xml:space="preserve">$323 million</w:t>
      </w:r>
      <w:r>
        <w:t xml:space="preserve"> </w:t>
      </w:r>
      <w:r>
        <w:t xml:space="preserve">in Q2 Enterprise Data revenue, which would represent:</w:t>
      </w:r>
    </w:p>
    <w:p>
      <w:pPr>
        <w:pStyle w:val="Compact"/>
        <w:numPr>
          <w:ilvl w:val="0"/>
          <w:numId w:val="1003"/>
        </w:numPr>
      </w:pPr>
      <w:r>
        <w:rPr>
          <w:b/>
          <w:bCs/>
        </w:rPr>
        <w:t xml:space="preserve">23% sequential growth</w:t>
      </w:r>
    </w:p>
    <w:p>
      <w:pPr>
        <w:pStyle w:val="Compact"/>
        <w:numPr>
          <w:ilvl w:val="0"/>
          <w:numId w:val="1003"/>
        </w:numPr>
      </w:pPr>
      <w:r>
        <w:t xml:space="preserve">Approximately</w:t>
      </w:r>
      <w:r>
        <w:t xml:space="preserve"> </w:t>
      </w:r>
      <w:r>
        <w:rPr>
          <w:b/>
          <w:bCs/>
        </w:rPr>
        <w:t xml:space="preserve">124% year-over-year growth</w:t>
      </w:r>
    </w:p>
    <w:p>
      <w:pPr>
        <w:pStyle w:val="Compact"/>
        <w:numPr>
          <w:ilvl w:val="0"/>
          <w:numId w:val="1003"/>
        </w:numPr>
      </w:pPr>
      <w:r>
        <w:t xml:space="preserve">Nearly</w:t>
      </w:r>
      <w:r>
        <w:t xml:space="preserve"> </w:t>
      </w:r>
      <w:r>
        <w:rPr>
          <w:b/>
          <w:bCs/>
        </w:rPr>
        <w:t xml:space="preserve">36% of total company revenue</w:t>
      </w:r>
    </w:p>
    <w:p>
      <w:pPr>
        <w:pStyle w:val="FirstParagraph"/>
      </w:pPr>
      <w:r>
        <w:t xml:space="preserve">That is a demanding but plausible target given the prior-quarter commentary. (</w:t>
      </w:r>
      <w:hyperlink r:id="rId12">
        <w:r>
          <w:rPr>
            <w:rStyle w:val="Hyperlink"/>
          </w:rPr>
          <w:t xml:space="preserve">tradingview.com</w:t>
        </w:r>
      </w:hyperlink>
      <w:r>
        <w:t xml:space="preserve">)</w:t>
      </w:r>
    </w:p>
    <w:bookmarkStart w:id="13" w:name="what-investors-need-to-hear"/>
    <w:p>
      <w:pPr>
        <w:pStyle w:val="Heading3"/>
      </w:pPr>
      <w:r>
        <w:t xml:space="preserve">What investors need to hear</w:t>
      </w:r>
    </w:p>
    <w:p>
      <w:pPr>
        <w:pStyle w:val="FirstParagraph"/>
      </w:pPr>
      <w:r>
        <w:t xml:space="preserve">The most useful disclosures would be:</w:t>
      </w:r>
    </w:p>
    <w:p>
      <w:pPr>
        <w:pStyle w:val="Compact"/>
        <w:numPr>
          <w:ilvl w:val="0"/>
          <w:numId w:val="1004"/>
        </w:numPr>
      </w:pPr>
      <w:r>
        <w:t xml:space="preserve">Whether the 85% full-year growth floor remains conservative</w:t>
      </w:r>
    </w:p>
    <w:p>
      <w:pPr>
        <w:pStyle w:val="Compact"/>
        <w:numPr>
          <w:ilvl w:val="0"/>
          <w:numId w:val="1004"/>
        </w:numPr>
      </w:pPr>
      <w:r>
        <w:t xml:space="preserve">How much of the acceleration is coming from AI accelerators versus server CPUs</w:t>
      </w:r>
    </w:p>
    <w:p>
      <w:pPr>
        <w:pStyle w:val="Compact"/>
        <w:numPr>
          <w:ilvl w:val="0"/>
          <w:numId w:val="1004"/>
        </w:numPr>
      </w:pPr>
      <w:r>
        <w:t xml:space="preserve">Whether growth is broadening across customers and geographies</w:t>
      </w:r>
    </w:p>
    <w:p>
      <w:pPr>
        <w:pStyle w:val="Compact"/>
        <w:numPr>
          <w:ilvl w:val="0"/>
          <w:numId w:val="1004"/>
        </w:numPr>
      </w:pPr>
      <w:r>
        <w:t xml:space="preserve">Continued transition from discrete chips to higher-content power modules</w:t>
      </w:r>
    </w:p>
    <w:p>
      <w:pPr>
        <w:pStyle w:val="Compact"/>
        <w:numPr>
          <w:ilvl w:val="0"/>
          <w:numId w:val="1004"/>
        </w:numPr>
      </w:pPr>
      <w:r>
        <w:t xml:space="preserve">Confirmation that MPWR can fulfill demand without supply constraints</w:t>
      </w:r>
    </w:p>
    <w:p>
      <w:pPr>
        <w:pStyle w:val="Compact"/>
        <w:numPr>
          <w:ilvl w:val="0"/>
          <w:numId w:val="1004"/>
        </w:numPr>
      </w:pPr>
      <w:r>
        <w:t xml:space="preserve">Any indication that customer orders extend materially into late 2026 or 2027</w:t>
      </w:r>
    </w:p>
    <w:p>
      <w:pPr>
        <w:pStyle w:val="FirstParagraph"/>
      </w:pPr>
      <w:r>
        <w:t xml:space="preserve">Management has historically declined to separate volume, market share and content growth. Even without precise numbers, commentary on backlog duration and customer diversification can indicate whether the current ramp is durable.</w:t>
      </w:r>
    </w:p>
    <w:p>
      <w:pPr>
        <w:pStyle w:val="BodyText"/>
      </w:pPr>
      <w:r>
        <w:t xml:space="preserve">A particularly bullish signal would be another increase in the full-year Enterprise Data floor. Conversely, maintaining the 85% floor after a strong Q2 would not necessarily be negative, but investors may interpret it as less incremental upside than they had hoped.</w:t>
      </w:r>
    </w:p>
    <w:p>
      <w:r>
        <w:pict>
          <v:rect style="width:0;height:1.5pt" o:hralign="center" o:hrstd="t" o:hr="t"/>
        </w:pict>
      </w:r>
    </w:p>
    <w:bookmarkEnd w:id="13"/>
    <w:bookmarkEnd w:id="14"/>
    <w:bookmarkStart w:id="15" w:name="X4dd362881c5ae8eb4f3dd77511a88a573fd62b7"/>
    <w:p>
      <w:pPr>
        <w:pStyle w:val="Heading2"/>
      </w:pPr>
      <w:r>
        <w:t xml:space="preserve">Communications may be the underappreciated second driver</w:t>
      </w:r>
    </w:p>
    <w:p>
      <w:pPr>
        <w:pStyle w:val="FirstParagraph"/>
      </w:pPr>
      <w:r>
        <w:t xml:space="preserve">Communications revenue reached</w:t>
      </w:r>
      <w:r>
        <w:t xml:space="preserve"> </w:t>
      </w:r>
      <w:r>
        <w:rPr>
          <w:b/>
          <w:bCs/>
        </w:rPr>
        <w:t xml:space="preserve">$111.5 million in Q1</w:t>
      </w:r>
      <w:r>
        <w:t xml:space="preserve">, rising</w:t>
      </w:r>
      <w:r>
        <w:t xml:space="preserve"> </w:t>
      </w:r>
      <w:r>
        <w:rPr>
          <w:b/>
          <w:bCs/>
        </w:rPr>
        <w:t xml:space="preserve">33% sequentially and 56% year over year</w:t>
      </w:r>
      <w:r>
        <w:t xml:space="preserve">, driven by power solutions for optical modules and networking switches. Management said the segment should grow faster than the company average, with strong ordering patterns extending through the year. (</w:t>
      </w:r>
      <w:hyperlink r:id="rId9">
        <w:r>
          <w:rPr>
            <w:rStyle w:val="Hyperlink"/>
          </w:rPr>
          <w:t xml:space="preserve">monolithicpower.com</w:t>
        </w:r>
      </w:hyperlink>
      <w:r>
        <w:t xml:space="preserve">)</w:t>
      </w:r>
    </w:p>
    <w:p>
      <w:pPr>
        <w:pStyle w:val="BodyText"/>
      </w:pPr>
      <w:r>
        <w:t xml:space="preserve">Consensus calls for approximately</w:t>
      </w:r>
      <w:r>
        <w:t xml:space="preserve"> </w:t>
      </w:r>
      <w:r>
        <w:rPr>
          <w:b/>
          <w:bCs/>
        </w:rPr>
        <w:t xml:space="preserve">$127 million</w:t>
      </w:r>
      <w:r>
        <w:t xml:space="preserve"> </w:t>
      </w:r>
      <w:r>
        <w:t xml:space="preserve">in Q2, implying:</w:t>
      </w:r>
    </w:p>
    <w:p>
      <w:pPr>
        <w:pStyle w:val="Compact"/>
        <w:numPr>
          <w:ilvl w:val="0"/>
          <w:numId w:val="1005"/>
        </w:numPr>
      </w:pPr>
      <w:r>
        <w:rPr>
          <w:b/>
          <w:bCs/>
        </w:rPr>
        <w:t xml:space="preserve">14% sequential growth</w:t>
      </w:r>
    </w:p>
    <w:p>
      <w:pPr>
        <w:pStyle w:val="Compact"/>
        <w:numPr>
          <w:ilvl w:val="0"/>
          <w:numId w:val="1005"/>
        </w:numPr>
      </w:pPr>
      <w:r>
        <w:t xml:space="preserve">Approximately</w:t>
      </w:r>
      <w:r>
        <w:t xml:space="preserve"> </w:t>
      </w:r>
      <w:r>
        <w:rPr>
          <w:b/>
          <w:bCs/>
        </w:rPr>
        <w:t xml:space="preserve">72% year-over-year growth</w:t>
      </w:r>
    </w:p>
    <w:p>
      <w:pPr>
        <w:pStyle w:val="FirstParagraph"/>
      </w:pPr>
      <w:r>
        <w:t xml:space="preserve">(</w:t>
      </w:r>
      <w:hyperlink r:id="rId12">
        <w:r>
          <w:rPr>
            <w:rStyle w:val="Hyperlink"/>
          </w:rPr>
          <w:t xml:space="preserve">tradingview.com</w:t>
        </w:r>
      </w:hyperlink>
      <w:r>
        <w:t xml:space="preserve">)</w:t>
      </w:r>
    </w:p>
    <w:p>
      <w:pPr>
        <w:pStyle w:val="BodyText"/>
      </w:pPr>
      <w:r>
        <w:t xml:space="preserve">This business matters because it expands MPWR’s AI exposure beyond compute silicon. As accelerator clusters scale, optical modules, switches, NICs and other networking equipment all require compact, efficient power management.</w:t>
      </w:r>
    </w:p>
    <w:p>
      <w:pPr>
        <w:pStyle w:val="BodyText"/>
      </w:pPr>
      <w:r>
        <w:t xml:space="preserve">Watch for commentary on:</w:t>
      </w:r>
    </w:p>
    <w:p>
      <w:pPr>
        <w:pStyle w:val="Compact"/>
        <w:numPr>
          <w:ilvl w:val="0"/>
          <w:numId w:val="1006"/>
        </w:numPr>
      </w:pPr>
      <w:r>
        <w:t xml:space="preserve">800-gig optical-module demand and the transition to faster data rates</w:t>
      </w:r>
    </w:p>
    <w:p>
      <w:pPr>
        <w:pStyle w:val="Compact"/>
        <w:numPr>
          <w:ilvl w:val="0"/>
          <w:numId w:val="1006"/>
        </w:numPr>
      </w:pPr>
      <w:r>
        <w:t xml:space="preserve">Power content in switches and other rack-scale networking equipment</w:t>
      </w:r>
    </w:p>
    <w:p>
      <w:pPr>
        <w:pStyle w:val="Compact"/>
        <w:numPr>
          <w:ilvl w:val="0"/>
          <w:numId w:val="1006"/>
        </w:numPr>
      </w:pPr>
      <w:r>
        <w:t xml:space="preserve">Whether customers are placing longer-term orders</w:t>
      </w:r>
    </w:p>
    <w:p>
      <w:pPr>
        <w:pStyle w:val="Compact"/>
        <w:numPr>
          <w:ilvl w:val="0"/>
          <w:numId w:val="1006"/>
        </w:numPr>
      </w:pPr>
      <w:r>
        <w:t xml:space="preserve">Growth expectations for the second half</w:t>
      </w:r>
    </w:p>
    <w:p>
      <w:pPr>
        <w:pStyle w:val="Compact"/>
        <w:numPr>
          <w:ilvl w:val="0"/>
          <w:numId w:val="1006"/>
        </w:numPr>
      </w:pPr>
      <w:r>
        <w:t xml:space="preserve">Whether Communications can remain above the corporate growth rate</w:t>
      </w:r>
    </w:p>
    <w:p>
      <w:pPr>
        <w:pStyle w:val="FirstParagraph"/>
      </w:pPr>
      <w:r>
        <w:t xml:space="preserve">If Enterprise Data is merely in line but Communications meaningfully exceeds expectations, it could still support an upside Q3 outlook.</w:t>
      </w:r>
    </w:p>
    <w:p>
      <w:r>
        <w:pict>
          <v:rect style="width:0;height:1.5pt" o:hralign="center" o:hrstd="t" o:hr="t"/>
        </w:pict>
      </w:r>
    </w:p>
    <w:bookmarkEnd w:id="15"/>
    <w:bookmarkStart w:id="16" w:name="gross-margin-is-the-key-quality-check"/>
    <w:p>
      <w:pPr>
        <w:pStyle w:val="Heading2"/>
      </w:pPr>
      <w:r>
        <w:t xml:space="preserve">Gross margin is the key quality check</w:t>
      </w:r>
    </w:p>
    <w:p>
      <w:pPr>
        <w:pStyle w:val="FirstParagraph"/>
      </w:pPr>
      <w:r>
        <w:t xml:space="preserve">MPWR’s non-GAAP gross margin has remained around</w:t>
      </w:r>
      <w:r>
        <w:t xml:space="preserve"> </w:t>
      </w:r>
      <w:r>
        <w:rPr>
          <w:b/>
          <w:bCs/>
        </w:rPr>
        <w:t xml:space="preserve">55.5%</w:t>
      </w:r>
      <w:r>
        <w:t xml:space="preserve">, near the lower end of its historical mid- to upper-50% model. Q2 guidance of</w:t>
      </w:r>
      <w:r>
        <w:t xml:space="preserve"> </w:t>
      </w:r>
      <w:r>
        <w:rPr>
          <w:b/>
          <w:bCs/>
        </w:rPr>
        <w:t xml:space="preserve">55.3%–55.9%</w:t>
      </w:r>
      <w:r>
        <w:t xml:space="preserve"> </w:t>
      </w:r>
      <w:r>
        <w:t xml:space="preserve">suggests only modest improvement despite substantial revenue growth. Management previously cited better backlog visibility and improving module yields, but also cautioned about possible second-half cost and mix headwinds. (</w:t>
      </w:r>
      <w:hyperlink r:id="rId9">
        <w:r>
          <w:rPr>
            <w:rStyle w:val="Hyperlink"/>
          </w:rPr>
          <w:t xml:space="preserve">monolithicpower.com</w:t>
        </w:r>
      </w:hyperlink>
      <w:r>
        <w:t xml:space="preserve">)</w:t>
      </w:r>
    </w:p>
    <w:p>
      <w:pPr>
        <w:pStyle w:val="BodyText"/>
      </w:pPr>
      <w:r>
        <w:t xml:space="preserve">This creates an important tension:</w:t>
      </w:r>
    </w:p>
    <w:p>
      <w:pPr>
        <w:pStyle w:val="Compact"/>
        <w:numPr>
          <w:ilvl w:val="0"/>
          <w:numId w:val="1007"/>
        </w:numPr>
      </w:pPr>
      <w:r>
        <w:rPr>
          <w:b/>
          <w:bCs/>
        </w:rPr>
        <w:t xml:space="preserve">Positive:</w:t>
      </w:r>
      <w:r>
        <w:t xml:space="preserve"> </w:t>
      </w:r>
      <w:r>
        <w:t xml:space="preserve">Rapid revenue growth should produce operating leverage.</w:t>
      </w:r>
    </w:p>
    <w:p>
      <w:pPr>
        <w:pStyle w:val="Compact"/>
        <w:numPr>
          <w:ilvl w:val="0"/>
          <w:numId w:val="1007"/>
        </w:numPr>
      </w:pPr>
      <w:r>
        <w:rPr>
          <w:b/>
          <w:bCs/>
        </w:rPr>
        <w:t xml:space="preserve">Negative:</w:t>
      </w:r>
      <w:r>
        <w:t xml:space="preserve"> </w:t>
      </w:r>
      <w:r>
        <w:t xml:space="preserve">Modules and more complete system solutions can carry manufacturing, packaging and yield costs that limit gross-margin expansion.</w:t>
      </w:r>
    </w:p>
    <w:p>
      <w:pPr>
        <w:pStyle w:val="FirstParagraph"/>
      </w:pPr>
      <w:r>
        <w:t xml:space="preserve">A result near</w:t>
      </w:r>
      <w:r>
        <w:t xml:space="preserve"> </w:t>
      </w:r>
      <w:r>
        <w:rPr>
          <w:b/>
          <w:bCs/>
        </w:rPr>
        <w:t xml:space="preserve">55.9%</w:t>
      </w:r>
      <w:r>
        <w:t xml:space="preserve"> </w:t>
      </w:r>
      <w:r>
        <w:t xml:space="preserve">with stable or higher Q3 guidance would show that MPWR is converting AI growth into improving economics. A decline toward or below the low end—especially if blamed on modules, expedited supply or input costs—would raise questions about the incremental profitability of the AI ramp.</w:t>
      </w:r>
    </w:p>
    <w:p>
      <w:pPr>
        <w:pStyle w:val="BodyText"/>
      </w:pPr>
      <w:r>
        <w:t xml:space="preserve">Operating margin may still expand even with a flat gross margin. At Q2 guidance midpoint, non-GAAP operating expenses grow about 7% sequentially while revenue grows approximately 12%, creating favorable operating leverage.</w:t>
      </w:r>
    </w:p>
    <w:p>
      <w:r>
        <w:pict>
          <v:rect style="width:0;height:1.5pt" o:hralign="center" o:hrstd="t" o:hr="t"/>
        </w:pict>
      </w:r>
    </w:p>
    <w:bookmarkEnd w:id="16"/>
    <w:bookmarkStart w:id="19" w:name="segment-scorecard-beyond-ai"/>
    <w:p>
      <w:pPr>
        <w:pStyle w:val="Heading2"/>
      </w:pPr>
      <w:r>
        <w:t xml:space="preserve">Segment scorecard beyond AI</w:t>
      </w:r>
    </w:p>
    <w:p>
      <w:pPr>
        <w:pStyle w:val="FirstParagraph"/>
      </w:pPr>
      <w:r>
        <w:t xml:space="preserve">Current expectations indicate that Q2 growth will remain concentrated in Enterprise Data and Communications: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w:t>
            </w:r>
          </w:p>
        </w:tc>
        <w:tc>
          <w:tcPr/>
          <w:p>
            <w:pPr>
              <w:pStyle w:val="Compact"/>
              <w:jc w:val="right"/>
            </w:pPr>
            <w:r>
              <w:t xml:space="preserve">Q1 2026</w:t>
            </w:r>
          </w:p>
        </w:tc>
        <w:tc>
          <w:tcPr/>
          <w:p>
            <w:pPr>
              <w:pStyle w:val="Compact"/>
              <w:jc w:val="right"/>
            </w:pPr>
            <w:r>
              <w:t xml:space="preserve">Q2 estimate</w:t>
            </w:r>
          </w:p>
        </w:tc>
        <w:tc>
          <w:tcPr/>
          <w:p>
            <w:pPr>
              <w:pStyle w:val="Compact"/>
              <w:jc w:val="right"/>
            </w:pPr>
            <w:r>
              <w:t xml:space="preserve">Sequential change</w:t>
            </w:r>
          </w:p>
        </w:tc>
        <w:tc>
          <w:tcPr/>
          <w:p>
            <w:pPr>
              <w:pStyle w:val="Compact"/>
            </w:pPr>
            <w:r>
              <w:t xml:space="preserve">Main issue</w:t>
            </w:r>
          </w:p>
        </w:tc>
      </w:tr>
      <w:tr>
        <w:tc>
          <w:tcPr/>
          <w:p>
            <w:pPr>
              <w:pStyle w:val="Compact"/>
            </w:pPr>
            <w:r>
              <w:t xml:space="preserve">Enterprise Data</w:t>
            </w:r>
          </w:p>
        </w:tc>
        <w:tc>
          <w:tcPr/>
          <w:p>
            <w:pPr>
              <w:pStyle w:val="Compact"/>
              <w:jc w:val="right"/>
            </w:pPr>
            <w:r>
              <w:t xml:space="preserve">$262.8M</w:t>
            </w:r>
          </w:p>
        </w:tc>
        <w:tc>
          <w:tcPr/>
          <w:p>
            <w:pPr>
              <w:pStyle w:val="Compact"/>
              <w:jc w:val="right"/>
            </w:pPr>
            <w:r>
              <w:t xml:space="preserve">~$323.0M</w:t>
            </w:r>
          </w:p>
        </w:tc>
        <w:tc>
          <w:tcPr/>
          <w:p>
            <w:pPr>
              <w:pStyle w:val="Compact"/>
              <w:jc w:val="right"/>
            </w:pPr>
            <w:r>
              <w:t xml:space="preserve">+23%</w:t>
            </w:r>
          </w:p>
        </w:tc>
        <w:tc>
          <w:tcPr/>
          <w:p>
            <w:pPr>
              <w:pStyle w:val="Compact"/>
            </w:pPr>
            <w:r>
              <w:t xml:space="preserve">AI/server backlog and content</w:t>
            </w:r>
          </w:p>
        </w:tc>
      </w:tr>
      <w:tr>
        <w:tc>
          <w:tcPr/>
          <w:p>
            <w:pPr>
              <w:pStyle w:val="Compact"/>
            </w:pPr>
            <w:r>
              <w:t xml:space="preserve">Communications</w:t>
            </w:r>
          </w:p>
        </w:tc>
        <w:tc>
          <w:tcPr/>
          <w:p>
            <w:pPr>
              <w:pStyle w:val="Compact"/>
              <w:jc w:val="right"/>
            </w:pPr>
            <w:r>
              <w:t xml:space="preserve">$111.5M</w:t>
            </w:r>
          </w:p>
        </w:tc>
        <w:tc>
          <w:tcPr/>
          <w:p>
            <w:pPr>
              <w:pStyle w:val="Compact"/>
              <w:jc w:val="right"/>
            </w:pPr>
            <w:r>
              <w:t xml:space="preserve">~$127.1M</w:t>
            </w:r>
          </w:p>
        </w:tc>
        <w:tc>
          <w:tcPr/>
          <w:p>
            <w:pPr>
              <w:pStyle w:val="Compact"/>
              <w:jc w:val="right"/>
            </w:pPr>
            <w:r>
              <w:t xml:space="preserve">+14%</w:t>
            </w:r>
          </w:p>
        </w:tc>
        <w:tc>
          <w:tcPr/>
          <w:p>
            <w:pPr>
              <w:pStyle w:val="Compact"/>
            </w:pPr>
            <w:r>
              <w:t xml:space="preserve">Optical modules and switches</w:t>
            </w:r>
          </w:p>
        </w:tc>
      </w:tr>
      <w:tr>
        <w:tc>
          <w:tcPr/>
          <w:p>
            <w:pPr>
              <w:pStyle w:val="Compact"/>
            </w:pPr>
            <w:r>
              <w:t xml:space="preserve">Storage &amp; Computing</w:t>
            </w:r>
          </w:p>
        </w:tc>
        <w:tc>
          <w:tcPr/>
          <w:p>
            <w:pPr>
              <w:pStyle w:val="Compact"/>
              <w:jc w:val="right"/>
            </w:pPr>
            <w:r>
              <w:t xml:space="preserve">$174.4M</w:t>
            </w:r>
          </w:p>
        </w:tc>
        <w:tc>
          <w:tcPr/>
          <w:p>
            <w:pPr>
              <w:pStyle w:val="Compact"/>
              <w:jc w:val="right"/>
            </w:pPr>
            <w:r>
              <w:t xml:space="preserve">~$186.3M</w:t>
            </w:r>
          </w:p>
        </w:tc>
        <w:tc>
          <w:tcPr/>
          <w:p>
            <w:pPr>
              <w:pStyle w:val="Compact"/>
              <w:jc w:val="right"/>
            </w:pPr>
            <w:r>
              <w:t xml:space="preserve">+7%</w:t>
            </w:r>
          </w:p>
        </w:tc>
        <w:tc>
          <w:tcPr/>
          <w:p>
            <w:pPr>
              <w:pStyle w:val="Compact"/>
            </w:pPr>
            <w:r>
              <w:t xml:space="preserve">Storage strength versus notebook weakness</w:t>
            </w:r>
          </w:p>
        </w:tc>
      </w:tr>
      <w:tr>
        <w:tc>
          <w:tcPr/>
          <w:p>
            <w:pPr>
              <w:pStyle w:val="Compact"/>
            </w:pPr>
            <w:r>
              <w:t xml:space="preserve">Automotive</w:t>
            </w:r>
          </w:p>
        </w:tc>
        <w:tc>
          <w:tcPr/>
          <w:p>
            <w:pPr>
              <w:pStyle w:val="Compact"/>
              <w:jc w:val="right"/>
            </w:pPr>
            <w:r>
              <w:t xml:space="preserve">$152.4M</w:t>
            </w:r>
          </w:p>
        </w:tc>
        <w:tc>
          <w:tcPr/>
          <w:p>
            <w:pPr>
              <w:pStyle w:val="Compact"/>
              <w:jc w:val="right"/>
            </w:pPr>
            <w:r>
              <w:t xml:space="preserve">~$155.5M</w:t>
            </w:r>
          </w:p>
        </w:tc>
        <w:tc>
          <w:tcPr/>
          <w:p>
            <w:pPr>
              <w:pStyle w:val="Compact"/>
              <w:jc w:val="right"/>
            </w:pPr>
            <w:r>
              <w:t xml:space="preserve">+2%</w:t>
            </w:r>
          </w:p>
        </w:tc>
        <w:tc>
          <w:tcPr/>
          <w:p>
            <w:pPr>
              <w:pStyle w:val="Compact"/>
            </w:pPr>
            <w:r>
              <w:t xml:space="preserve">Timing of second-half design-win ramps</w:t>
            </w:r>
          </w:p>
        </w:tc>
      </w:tr>
      <w:tr>
        <w:tc>
          <w:tcPr/>
          <w:p>
            <w:pPr>
              <w:pStyle w:val="Compact"/>
            </w:pPr>
            <w:r>
              <w:t xml:space="preserve">Industrial</w:t>
            </w:r>
          </w:p>
        </w:tc>
        <w:tc>
          <w:tcPr/>
          <w:p>
            <w:pPr>
              <w:pStyle w:val="Compact"/>
              <w:jc w:val="right"/>
            </w:pPr>
            <w:r>
              <w:t xml:space="preserve">$48.6M</w:t>
            </w:r>
          </w:p>
        </w:tc>
        <w:tc>
          <w:tcPr/>
          <w:p>
            <w:pPr>
              <w:pStyle w:val="Compact"/>
              <w:jc w:val="right"/>
            </w:pPr>
            <w:r>
              <w:t xml:space="preserve">~$51.2M</w:t>
            </w:r>
          </w:p>
        </w:tc>
        <w:tc>
          <w:tcPr/>
          <w:p>
            <w:pPr>
              <w:pStyle w:val="Compact"/>
              <w:jc w:val="right"/>
            </w:pPr>
            <w:r>
              <w:t xml:space="preserve">+5%</w:t>
            </w:r>
          </w:p>
        </w:tc>
        <w:tc>
          <w:tcPr/>
          <w:p>
            <w:pPr>
              <w:pStyle w:val="Compact"/>
            </w:pPr>
            <w:r>
              <w:t xml:space="preserve">Broader cyclical recovery</w:t>
            </w:r>
          </w:p>
        </w:tc>
      </w:tr>
      <w:tr>
        <w:tc>
          <w:tcPr/>
          <w:p>
            <w:pPr>
              <w:pStyle w:val="Compact"/>
            </w:pPr>
            <w:r>
              <w:t xml:space="preserve">Consumer</w:t>
            </w:r>
          </w:p>
        </w:tc>
        <w:tc>
          <w:tcPr/>
          <w:p>
            <w:pPr>
              <w:pStyle w:val="Compact"/>
              <w:jc w:val="right"/>
            </w:pPr>
            <w:r>
              <w:t xml:space="preserve">$54.5M</w:t>
            </w:r>
          </w:p>
        </w:tc>
        <w:tc>
          <w:tcPr/>
          <w:p>
            <w:pPr>
              <w:pStyle w:val="Compact"/>
              <w:jc w:val="right"/>
            </w:pPr>
            <w:r>
              <w:t xml:space="preserve">~$60.6M implied</w:t>
            </w:r>
          </w:p>
        </w:tc>
        <w:tc>
          <w:tcPr/>
          <w:p>
            <w:pPr>
              <w:pStyle w:val="Compact"/>
              <w:jc w:val="right"/>
            </w:pPr>
            <w:r>
              <w:t xml:space="preserve">+11%</w:t>
            </w:r>
          </w:p>
        </w:tc>
        <w:tc>
          <w:tcPr/>
          <w:p>
            <w:pPr>
              <w:pStyle w:val="Compact"/>
            </w:pPr>
            <w:r>
              <w:t xml:space="preserve">Mix and seasonality</w:t>
            </w:r>
          </w:p>
        </w:tc>
      </w:tr>
    </w:tbl>
    <w:p>
      <w:pPr>
        <w:pStyle w:val="BodyText"/>
      </w:pPr>
      <w:r>
        <w:t xml:space="preserve">Segment estimates are based on the current Zacks preview and the implied residual needed to reach total consensus revenue. (</w:t>
      </w:r>
      <w:hyperlink r:id="rId12">
        <w:r>
          <w:rPr>
            <w:rStyle w:val="Hyperlink"/>
          </w:rPr>
          <w:t xml:space="preserve">tradingview.com</w:t>
        </w:r>
      </w:hyperlink>
      <w:r>
        <w:t xml:space="preserve">)</w:t>
      </w:r>
    </w:p>
    <w:bookmarkStart w:id="17" w:name="storage-and-computing"/>
    <w:p>
      <w:pPr>
        <w:pStyle w:val="Heading3"/>
      </w:pPr>
      <w:r>
        <w:t xml:space="preserve">Storage and Computing</w:t>
      </w:r>
    </w:p>
    <w:p>
      <w:pPr>
        <w:pStyle w:val="FirstParagraph"/>
      </w:pPr>
      <w:r>
        <w:t xml:space="preserve">Management has drawn a sharp distinction between:</w:t>
      </w:r>
    </w:p>
    <w:p>
      <w:pPr>
        <w:pStyle w:val="Compact"/>
        <w:numPr>
          <w:ilvl w:val="0"/>
          <w:numId w:val="1008"/>
        </w:numPr>
      </w:pPr>
      <w:r>
        <w:rPr>
          <w:b/>
          <w:bCs/>
        </w:rPr>
        <w:t xml:space="preserve">Strong storage demand:</w:t>
      </w:r>
      <w:r>
        <w:t xml:space="preserve"> </w:t>
      </w:r>
      <w:r>
        <w:t xml:space="preserve">DDR5, SSDs, HDDs and memory-related applications linked to data-center expansion</w:t>
      </w:r>
    </w:p>
    <w:p>
      <w:pPr>
        <w:pStyle w:val="Compact"/>
        <w:numPr>
          <w:ilvl w:val="0"/>
          <w:numId w:val="1008"/>
        </w:numPr>
      </w:pPr>
      <w:r>
        <w:rPr>
          <w:b/>
          <w:bCs/>
        </w:rPr>
        <w:t xml:space="preserve">Weaker notebooks:</w:t>
      </w:r>
      <w:r>
        <w:t xml:space="preserve"> </w:t>
      </w:r>
      <w:r>
        <w:t xml:space="preserve">A more consumer-oriented market in which MPWR is cautious and selective</w:t>
      </w:r>
    </w:p>
    <w:p>
      <w:pPr>
        <w:pStyle w:val="FirstParagraph"/>
      </w:pPr>
      <w:r>
        <w:t xml:space="preserve">Storage should offset some notebook weakness, but consensus still implies a modest year-over-year segment decline. A return to year-over-year growth would be a useful sign that MPWR’s data-center exposure is broadening beyond the Enterprise Data classification.</w:t>
      </w:r>
    </w:p>
    <w:bookmarkEnd w:id="17"/>
    <w:bookmarkStart w:id="18" w:name="automotive"/>
    <w:p>
      <w:pPr>
        <w:pStyle w:val="Heading3"/>
      </w:pPr>
      <w:r>
        <w:t xml:space="preserve">Automotive</w:t>
      </w:r>
    </w:p>
    <w:p>
      <w:pPr>
        <w:pStyle w:val="FirstParagraph"/>
      </w:pPr>
      <w:r>
        <w:t xml:space="preserve">Automotive was approximately flat sequentially in Q1, consistent with management’s expectation for a flat first half followed by a second-half ramp. The Q3 guide should begin to reflect previously won projects in ADAS, electrification and connectivity.</w:t>
      </w:r>
    </w:p>
    <w:p>
      <w:pPr>
        <w:pStyle w:val="BodyText"/>
      </w:pPr>
      <w:r>
        <w:t xml:space="preserve">Investors should distinguish between genuine design-win ramps and a general automotive-market recovery. MPWR’s thesis is primarily based on content and share gains, not unit-production growth.</w:t>
      </w:r>
    </w:p>
    <w:p>
      <w:r>
        <w:pict>
          <v:rect style="width:0;height:1.5pt" o:hralign="center" o:hrstd="t" o:hr="t"/>
        </w:pict>
      </w:r>
    </w:p>
    <w:bookmarkEnd w:id="18"/>
    <w:bookmarkEnd w:id="19"/>
    <w:bookmarkStart w:id="20" w:name="Xd49176b5ab51ec5614baa94212cd9d83ce09d63"/>
    <w:p>
      <w:pPr>
        <w:pStyle w:val="Heading2"/>
      </w:pPr>
      <w:r>
        <w:t xml:space="preserve">Capacity and inventory: bullish preparation or execution risk?</w:t>
      </w:r>
    </w:p>
    <w:p>
      <w:pPr>
        <w:pStyle w:val="FirstParagraph"/>
      </w:pPr>
      <w:r>
        <w:t xml:space="preserve">MPWR increased its manufacturing-capacity objective from</w:t>
      </w:r>
      <w:r>
        <w:t xml:space="preserve"> </w:t>
      </w:r>
      <w:r>
        <w:rPr>
          <w:b/>
          <w:bCs/>
        </w:rPr>
        <w:t xml:space="preserve">$4 billion to $6 billion of annual revenue capacity “in the near future.”</w:t>
      </w:r>
      <w:r>
        <w:t xml:space="preserve"> </w:t>
      </w:r>
      <w:r>
        <w:t xml:space="preserve">Management said this reflects expected design-win conversion and has emphasized a geographically diversified supply chain inside and outside China. (</w:t>
      </w:r>
      <w:hyperlink r:id="rId9">
        <w:r>
          <w:rPr>
            <w:rStyle w:val="Hyperlink"/>
          </w:rPr>
          <w:t xml:space="preserve">monolithicpower.com</w:t>
        </w:r>
      </w:hyperlink>
      <w:r>
        <w:t xml:space="preserve">)</w:t>
      </w:r>
    </w:p>
    <w:p>
      <w:pPr>
        <w:pStyle w:val="BodyText"/>
      </w:pPr>
      <w:r>
        <w:t xml:space="preserve">At March 31:</w:t>
      </w:r>
    </w:p>
    <w:p>
      <w:pPr>
        <w:pStyle w:val="Compact"/>
        <w:numPr>
          <w:ilvl w:val="0"/>
          <w:numId w:val="1009"/>
        </w:numPr>
      </w:pPr>
      <w:r>
        <w:t xml:space="preserve">Internal inventory was</w:t>
      </w:r>
      <w:r>
        <w:t xml:space="preserve"> </w:t>
      </w:r>
      <w:r>
        <w:rPr>
          <w:b/>
          <w:bCs/>
        </w:rPr>
        <w:t xml:space="preserve">$619.2 million</w:t>
      </w:r>
      <w:r>
        <w:t xml:space="preserve">, up from $564.6 million at year-end</w:t>
      </w:r>
    </w:p>
    <w:p>
      <w:pPr>
        <w:pStyle w:val="Compact"/>
        <w:numPr>
          <w:ilvl w:val="0"/>
          <w:numId w:val="1009"/>
        </w:numPr>
      </w:pPr>
      <w:r>
        <w:t xml:space="preserve">Inventory days were</w:t>
      </w:r>
      <w:r>
        <w:t xml:space="preserve"> </w:t>
      </w:r>
      <w:r>
        <w:rPr>
          <w:b/>
          <w:bCs/>
        </w:rPr>
        <w:t xml:space="preserve">157</w:t>
      </w:r>
      <w:r>
        <w:t xml:space="preserve">, or 140 days when measured against projected Q2 revenue</w:t>
      </w:r>
    </w:p>
    <w:p>
      <w:pPr>
        <w:pStyle w:val="Compact"/>
        <w:numPr>
          <w:ilvl w:val="0"/>
          <w:numId w:val="1009"/>
        </w:numPr>
      </w:pPr>
      <w:r>
        <w:t xml:space="preserve">Cash and short-term investments were</w:t>
      </w:r>
      <w:r>
        <w:t xml:space="preserve"> </w:t>
      </w:r>
      <w:r>
        <w:rPr>
          <w:b/>
          <w:bCs/>
        </w:rPr>
        <w:t xml:space="preserve">$1.37 billion</w:t>
      </w:r>
    </w:p>
    <w:p>
      <w:pPr>
        <w:pStyle w:val="Compact"/>
        <w:numPr>
          <w:ilvl w:val="0"/>
          <w:numId w:val="1009"/>
        </w:numPr>
      </w:pPr>
      <w:r>
        <w:t xml:space="preserve">Q1 operating cash flow was</w:t>
      </w:r>
      <w:r>
        <w:t xml:space="preserve"> </w:t>
      </w:r>
      <w:r>
        <w:rPr>
          <w:b/>
          <w:bCs/>
        </w:rPr>
        <w:t xml:space="preserve">$250.3 million</w:t>
      </w:r>
    </w:p>
    <w:p>
      <w:pPr>
        <w:pStyle w:val="FirstParagraph"/>
      </w:pPr>
      <w:r>
        <w:t xml:space="preserve">(</w:t>
      </w:r>
      <w:hyperlink r:id="rId9">
        <w:r>
          <w:rPr>
            <w:rStyle w:val="Hyperlink"/>
          </w:rPr>
          <w:t xml:space="preserve">monolithicpower.com</w:t>
        </w:r>
      </w:hyperlink>
      <w:r>
        <w:t xml:space="preserve">)</w:t>
      </w:r>
    </w:p>
    <w:p>
      <w:pPr>
        <w:pStyle w:val="BodyText"/>
      </w:pPr>
      <w:r>
        <w:t xml:space="preserve">Higher inventory is not automatically concerning because MPWR is preparing for rapid growth, long semiconductor lead times and customers seeking supply assurance. Nevertheless, investors should watch:</w:t>
      </w:r>
    </w:p>
    <w:p>
      <w:pPr>
        <w:pStyle w:val="Compact"/>
        <w:numPr>
          <w:ilvl w:val="0"/>
          <w:numId w:val="1010"/>
        </w:numPr>
      </w:pPr>
      <w:r>
        <w:t xml:space="preserve">Whether inventory growth slows relative to revenue</w:t>
      </w:r>
    </w:p>
    <w:p>
      <w:pPr>
        <w:pStyle w:val="Compact"/>
        <w:numPr>
          <w:ilvl w:val="0"/>
          <w:numId w:val="1010"/>
        </w:numPr>
      </w:pPr>
      <w:r>
        <w:t xml:space="preserve">Module yields and manufacturing efficiency</w:t>
      </w:r>
    </w:p>
    <w:p>
      <w:pPr>
        <w:pStyle w:val="Compact"/>
        <w:numPr>
          <w:ilvl w:val="0"/>
          <w:numId w:val="1010"/>
        </w:numPr>
      </w:pPr>
      <w:r>
        <w:t xml:space="preserve">Commitments to foundry, assembly and testing partners</w:t>
      </w:r>
    </w:p>
    <w:p>
      <w:pPr>
        <w:pStyle w:val="Compact"/>
        <w:numPr>
          <w:ilvl w:val="0"/>
          <w:numId w:val="1010"/>
        </w:numPr>
      </w:pPr>
      <w:r>
        <w:t xml:space="preserve">Geographic diversification of capacity</w:t>
      </w:r>
    </w:p>
    <w:p>
      <w:pPr>
        <w:pStyle w:val="Compact"/>
        <w:numPr>
          <w:ilvl w:val="0"/>
          <w:numId w:val="1010"/>
        </w:numPr>
      </w:pPr>
      <w:r>
        <w:t xml:space="preserve">Any evidence of double ordering or changing customer lead times</w:t>
      </w:r>
    </w:p>
    <w:p>
      <w:pPr>
        <w:pStyle w:val="FirstParagraph"/>
      </w:pPr>
      <w:r>
        <w:t xml:space="preserve">A clean quarter would combine strong revenue, lower forward-looking inventory days and no change in the company’s view that supply is sufficient.</w:t>
      </w:r>
    </w:p>
    <w:p>
      <w:r>
        <w:pict>
          <v:rect style="width:0;height:1.5pt" o:hralign="center" o:hrstd="t" o:hr="t"/>
        </w:pict>
      </w:r>
    </w:p>
    <w:bookmarkEnd w:id="20"/>
    <w:bookmarkStart w:id="22" w:name="X124c6c77bd06928224d3f4f0577a048418681ff"/>
    <w:p>
      <w:pPr>
        <w:pStyle w:val="Heading2"/>
      </w:pPr>
      <w:r>
        <w:t xml:space="preserve">Longer-term optionality should not be confused with Q2 earnings drivers</w:t>
      </w:r>
    </w:p>
    <w:p>
      <w:pPr>
        <w:pStyle w:val="FirstParagraph"/>
      </w:pPr>
      <w:r>
        <w:t xml:space="preserve">MPWR has several emerging opportunities, but investors should avoid putting too much near-term weight on them:</w:t>
      </w:r>
    </w:p>
    <w:p>
      <w:pPr>
        <w:pStyle w:val="Compact"/>
        <w:numPr>
          <w:ilvl w:val="0"/>
          <w:numId w:val="1011"/>
        </w:numPr>
      </w:pPr>
      <w:r>
        <w:rPr>
          <w:b/>
          <w:bCs/>
        </w:rPr>
        <w:t xml:space="preserve">DDR5 high-speed interfaces:</w:t>
      </w:r>
      <w:r>
        <w:t xml:space="preserve"> </w:t>
      </w:r>
      <w:r>
        <w:t xml:space="preserve">Products are being sampled at major customers, but management said they should not materially contribute to 2026 revenue.</w:t>
      </w:r>
    </w:p>
    <w:p>
      <w:pPr>
        <w:pStyle w:val="Compact"/>
        <w:numPr>
          <w:ilvl w:val="0"/>
          <w:numId w:val="1011"/>
        </w:numPr>
      </w:pPr>
      <w:r>
        <w:rPr>
          <w:b/>
          <w:bCs/>
        </w:rPr>
        <w:t xml:space="preserve">Robotics and physical AI:</w:t>
      </w:r>
      <w:r>
        <w:t xml:space="preserve"> </w:t>
      </w:r>
      <w:r>
        <w:t xml:space="preserve">Revenue could begin to appear in 2026, but volumes remain small and timing is customer-dependent.</w:t>
      </w:r>
    </w:p>
    <w:p>
      <w:pPr>
        <w:pStyle w:val="Compact"/>
        <w:numPr>
          <w:ilvl w:val="0"/>
          <w:numId w:val="1011"/>
        </w:numPr>
      </w:pPr>
      <w:r>
        <w:rPr>
          <w:b/>
          <w:bCs/>
        </w:rPr>
        <w:t xml:space="preserve">800-volt data-center power:</w:t>
      </w:r>
      <w:r>
        <w:t xml:space="preserve"> </w:t>
      </w:r>
      <w:r>
        <w:t xml:space="preserve">MPWR has silicon-carbide-based solutions under development or co-development, but adoption depends on broader data-center architecture changes.</w:t>
      </w:r>
    </w:p>
    <w:p>
      <w:pPr>
        <w:pStyle w:val="Compact"/>
        <w:numPr>
          <w:ilvl w:val="0"/>
          <w:numId w:val="1011"/>
        </w:numPr>
      </w:pPr>
      <w:r>
        <w:rPr>
          <w:b/>
          <w:bCs/>
        </w:rPr>
        <w:t xml:space="preserve">GaN:</w:t>
      </w:r>
      <w:r>
        <w:t xml:space="preserve"> </w:t>
      </w:r>
      <w:r>
        <w:t xml:space="preserve">The company is developing GaN technology primarily for lower-voltage and lower-power applications rather than using it as the core of its 800-volt approach.</w:t>
      </w:r>
    </w:p>
    <w:p>
      <w:pPr>
        <w:pStyle w:val="FirstParagraph"/>
      </w:pPr>
      <w:r>
        <w:t xml:space="preserve">These initiatives matter for MPWR’s multiyear addressable market, but tomorrow’s stock reaction should be driven primarily by Enterprise Data, Communications, margins and Q3 guidance. (</w:t>
      </w:r>
      <w:hyperlink r:id="rId21">
        <w:r>
          <w:rPr>
            <w:rStyle w:val="Hyperlink"/>
          </w:rPr>
          <w:t xml:space="preserve">monolithicpower.com</w:t>
        </w:r>
      </w:hyperlink>
      <w:r>
        <w:t xml:space="preserve">)</w:t>
      </w:r>
    </w:p>
    <w:p>
      <w:r>
        <w:pict>
          <v:rect style="width:0;height:1.5pt" o:hralign="center" o:hrstd="t" o:hr="t"/>
        </w:pict>
      </w:r>
    </w:p>
    <w:bookmarkEnd w:id="22"/>
    <w:bookmarkStart w:id="24" w:name="valuation-and-expectations-risk"/>
    <w:p>
      <w:pPr>
        <w:pStyle w:val="Heading2"/>
      </w:pPr>
      <w:r>
        <w:t xml:space="preserve">Valuation and expectations risk</w:t>
      </w:r>
    </w:p>
    <w:p>
      <w:pPr>
        <w:pStyle w:val="FirstParagraph"/>
      </w:pPr>
      <w:r>
        <w:t xml:space="preserve">MPWR closed July 29 at</w:t>
      </w:r>
      <w:r>
        <w:t xml:space="preserve"> </w:t>
      </w:r>
      <m:oMath>
        <m:r>
          <m:t>1</m:t>
        </m:r>
        <m:r>
          <m:rPr>
            <m:sty m:val="p"/>
          </m:rPr>
          <m:t>,</m:t>
        </m:r>
        <m:r>
          <m:t>286.56</m:t>
        </m:r>
        <m:r>
          <m:rPr>
            <m:sty m:val="p"/>
          </m:rPr>
          <m:t>*</m:t>
        </m:r>
        <m:r>
          <m:rPr>
            <m:sty m:val="p"/>
          </m:rPr>
          <m:t>*</m:t>
        </m:r>
        <m:r>
          <m:rPr>
            <m:sty m:val="p"/>
          </m:rPr>
          <m:t>.</m:t>
        </m:r>
        <m:r>
          <m:t>U</m:t>
        </m:r>
        <m:r>
          <m:t>s</m:t>
        </m:r>
        <m:r>
          <m:t>i</m:t>
        </m:r>
        <m:r>
          <m:t>n</m:t>
        </m:r>
        <m:r>
          <m:t>g</m:t>
        </m:r>
        <m:r>
          <m:t>c</m:t>
        </m:r>
        <m:r>
          <m:t>u</m:t>
        </m:r>
        <m:r>
          <m:t>r</m:t>
        </m:r>
        <m:r>
          <m:t>r</m:t>
        </m:r>
        <m:r>
          <m:t>e</m:t>
        </m:r>
        <m:r>
          <m:t>n</m:t>
        </m:r>
        <m:r>
          <m:t>t</m:t>
        </m:r>
        <m:r>
          <m:t>c</m:t>
        </m:r>
        <m:r>
          <m:t>o</m:t>
        </m:r>
        <m:r>
          <m:t>n</m:t>
        </m:r>
        <m:r>
          <m:t>s</m:t>
        </m:r>
        <m:r>
          <m:t>e</m:t>
        </m:r>
        <m:r>
          <m:t>n</m:t>
        </m:r>
        <m:r>
          <m:t>s</m:t>
        </m:r>
        <m:r>
          <m:t>u</m:t>
        </m:r>
        <m:r>
          <m:t>s</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24.05 in 2026 EPS and $29.30 in 2027 EPS</w:t>
      </w:r>
      <w:r>
        <w:t xml:space="preserve">, the shares trade at roughly:</w:t>
      </w:r>
    </w:p>
    <w:p>
      <w:pPr>
        <w:pStyle w:val="Compact"/>
        <w:numPr>
          <w:ilvl w:val="0"/>
          <w:numId w:val="1012"/>
        </w:numPr>
      </w:pPr>
      <w:r>
        <w:rPr>
          <w:b/>
          <w:bCs/>
        </w:rPr>
        <w:t xml:space="preserve">53.5× 2026 non-GAAP EPS</w:t>
      </w:r>
    </w:p>
    <w:p>
      <w:pPr>
        <w:pStyle w:val="Compact"/>
        <w:numPr>
          <w:ilvl w:val="0"/>
          <w:numId w:val="1012"/>
        </w:numPr>
      </w:pPr>
      <w:r>
        <w:rPr>
          <w:b/>
          <w:bCs/>
        </w:rPr>
        <w:t xml:space="preserve">43.9× 2027 non-GAAP EPS</w:t>
      </w:r>
    </w:p>
    <w:p>
      <w:pPr>
        <w:pStyle w:val="FirstParagraph"/>
      </w:pPr>
      <w:r>
        <w:t xml:space="preserve">(</w:t>
      </w:r>
      <w:hyperlink r:id="rId23">
        <w:r>
          <w:rPr>
            <w:rStyle w:val="Hyperlink"/>
          </w:rPr>
          <w:t xml:space="preserve">stage.zacks.com</w:t>
        </w:r>
      </w:hyperlink>
      <w:r>
        <w:t xml:space="preserve">)</w:t>
      </w:r>
    </w:p>
    <w:p>
      <w:pPr>
        <w:pStyle w:val="BodyText"/>
      </w:pPr>
      <w:r>
        <w:t xml:space="preserve">The shares have declined approximately 20% since the April 30 earnings report, partially resetting expectations. Even after that decline, however, the valuation still assumes sustained growth well above the broader analog-semiconductor industry.</w:t>
      </w:r>
    </w:p>
    <w:p>
      <w:pPr>
        <w:pStyle w:val="BodyText"/>
      </w:pPr>
      <w:r>
        <w:t xml:space="preserve">That makes the forward guide more important than the size of the Q2 beat. A strong quarter paired with ordinary guidance could produce a muted response, while an explicit upward revision to the Enterprise Data outlook could drive meaningful estimate increases.</w:t>
      </w:r>
    </w:p>
    <w:p>
      <w:r>
        <w:pict>
          <v:rect style="width:0;height:1.5pt" o:hralign="center" o:hrstd="t" o:hr="t"/>
        </w:pict>
      </w:r>
    </w:p>
    <w:bookmarkEnd w:id="24"/>
    <w:bookmarkStart w:id="30" w:name="other-items-worth-monitoring"/>
    <w:p>
      <w:pPr>
        <w:pStyle w:val="Heading2"/>
      </w:pPr>
      <w:r>
        <w:t xml:space="preserve">Other items worth monitoring</w:t>
      </w:r>
    </w:p>
    <w:bookmarkStart w:id="26" w:name="internal-controls"/>
    <w:p>
      <w:pPr>
        <w:pStyle w:val="Heading3"/>
      </w:pPr>
      <w:r>
        <w:t xml:space="preserve">Internal controls</w:t>
      </w:r>
    </w:p>
    <w:p>
      <w:pPr>
        <w:pStyle w:val="FirstParagraph"/>
      </w:pPr>
      <w:r>
        <w:t xml:space="preserve">As of March 31, MPWR still had a material weakness related to its review of deferred-income-tax accounting. Management expected to complete remediation during fiscal 2026, but the weakness had not yet been considered remediated. An update demonstrating progress would reduce a non-operating overhang. (</w:t>
      </w:r>
      <w:hyperlink r:id="rId25">
        <w:r>
          <w:rPr>
            <w:rStyle w:val="Hyperlink"/>
          </w:rPr>
          <w:t xml:space="preserve">sec.gov</w:t>
        </w:r>
      </w:hyperlink>
      <w:r>
        <w:t xml:space="preserve">)</w:t>
      </w:r>
    </w:p>
    <w:bookmarkEnd w:id="26"/>
    <w:bookmarkStart w:id="28" w:name="cfo-transition"/>
    <w:p>
      <w:pPr>
        <w:pStyle w:val="Heading3"/>
      </w:pPr>
      <w:r>
        <w:t xml:space="preserve">CFO transition</w:t>
      </w:r>
    </w:p>
    <w:p>
      <w:pPr>
        <w:pStyle w:val="FirstParagraph"/>
      </w:pPr>
      <w:r>
        <w:t xml:space="preserve">Robert Dean remains listed as interim CFO following Bernie Blegen’s retirement. Investors may listen for an update on the search for a permanent CFO, particularly given the ongoing control-remediation process. (</w:t>
      </w:r>
      <w:hyperlink r:id="rId27">
        <w:r>
          <w:rPr>
            <w:rStyle w:val="Hyperlink"/>
          </w:rPr>
          <w:t xml:space="preserve">sec.gov</w:t>
        </w:r>
      </w:hyperlink>
      <w:r>
        <w:t xml:space="preserve">)</w:t>
      </w:r>
    </w:p>
    <w:bookmarkEnd w:id="28"/>
    <w:bookmarkStart w:id="29" w:name="trade-and-geographic-exposure"/>
    <w:p>
      <w:pPr>
        <w:pStyle w:val="Heading3"/>
      </w:pPr>
      <w:r>
        <w:t xml:space="preserve">Trade and geographic exposure</w:t>
      </w:r>
    </w:p>
    <w:p>
      <w:pPr>
        <w:pStyle w:val="FirstParagraph"/>
      </w:pPr>
      <w:r>
        <w:t xml:space="preserve">MPWR stated in its Q1 filing that tariffs and export restrictions had not materially affected its operations through the filing date, but the company derives most of its revenue through customers in Asia and retains meaningful manufacturing exposure to China. Changes in export controls or tariffs remain a potentially fast-moving risk. (</w:t>
      </w:r>
      <w:hyperlink r:id="rId25">
        <w:r>
          <w:rPr>
            <w:rStyle w:val="Hyperlink"/>
          </w:rPr>
          <w:t xml:space="preserve">sec.gov</w:t>
        </w:r>
      </w:hyperlink>
      <w:r>
        <w:t xml:space="preserve">)</w:t>
      </w:r>
    </w:p>
    <w:p>
      <w:r>
        <w:pict>
          <v:rect style="width:0;height:1.5pt" o:hralign="center" o:hrstd="t" o:hr="t"/>
        </w:pict>
      </w:r>
    </w:p>
    <w:bookmarkEnd w:id="29"/>
    <w:bookmarkEnd w:id="30"/>
    <w:bookmarkStart w:id="34" w:name="earnings-reaction-framework"/>
    <w:p>
      <w:pPr>
        <w:pStyle w:val="Heading2"/>
      </w:pPr>
      <w:r>
        <w:t xml:space="preserve">Earnings reaction framework</w:t>
      </w:r>
    </w:p>
    <w:bookmarkStart w:id="31" w:name="bull-case"/>
    <w:p>
      <w:pPr>
        <w:pStyle w:val="Heading3"/>
      </w:pPr>
      <w:r>
        <w:t xml:space="preserve">Bull case</w:t>
      </w:r>
    </w:p>
    <w:p>
      <w:pPr>
        <w:pStyle w:val="Compact"/>
        <w:numPr>
          <w:ilvl w:val="0"/>
          <w:numId w:val="1013"/>
        </w:numPr>
      </w:pPr>
      <w:r>
        <w:t xml:space="preserve">Q2 revenue above</w:t>
      </w:r>
      <w:r>
        <w:t xml:space="preserve"> </w:t>
      </w:r>
      <w:r>
        <w:rPr>
          <w:b/>
          <w:bCs/>
        </w:rPr>
        <w:t xml:space="preserve">$910 million</w:t>
      </w:r>
    </w:p>
    <w:p>
      <w:pPr>
        <w:pStyle w:val="Compact"/>
        <w:numPr>
          <w:ilvl w:val="0"/>
          <w:numId w:val="1013"/>
        </w:numPr>
      </w:pPr>
      <w:r>
        <w:t xml:space="preserve">Non-GAAP gross margin near or above</w:t>
      </w:r>
      <w:r>
        <w:t xml:space="preserve"> </w:t>
      </w:r>
      <w:r>
        <w:rPr>
          <w:b/>
          <w:bCs/>
        </w:rPr>
        <w:t xml:space="preserve">55.9%</w:t>
      </w:r>
    </w:p>
    <w:p>
      <w:pPr>
        <w:pStyle w:val="Compact"/>
        <w:numPr>
          <w:ilvl w:val="0"/>
          <w:numId w:val="1013"/>
        </w:numPr>
      </w:pPr>
      <w:r>
        <w:t xml:space="preserve">Q3 revenue guidance above approximately</w:t>
      </w:r>
      <w:r>
        <w:t xml:space="preserve"> </w:t>
      </w:r>
      <w:r>
        <w:rPr>
          <w:b/>
          <w:bCs/>
        </w:rPr>
        <w:t xml:space="preserve">$990 million</w:t>
      </w:r>
    </w:p>
    <w:p>
      <w:pPr>
        <w:pStyle w:val="Compact"/>
        <w:numPr>
          <w:ilvl w:val="0"/>
          <w:numId w:val="1013"/>
        </w:numPr>
      </w:pPr>
      <w:r>
        <w:t xml:space="preserve">Enterprise Data growth floor raised beyond 85%</w:t>
      </w:r>
    </w:p>
    <w:p>
      <w:pPr>
        <w:pStyle w:val="Compact"/>
        <w:numPr>
          <w:ilvl w:val="0"/>
          <w:numId w:val="1013"/>
        </w:numPr>
      </w:pPr>
      <w:r>
        <w:t xml:space="preserve">Communications remains materially above corporate growth</w:t>
      </w:r>
    </w:p>
    <w:p>
      <w:pPr>
        <w:pStyle w:val="Compact"/>
        <w:numPr>
          <w:ilvl w:val="0"/>
          <w:numId w:val="1013"/>
        </w:numPr>
      </w:pPr>
      <w:r>
        <w:t xml:space="preserve">No supply constraints and improving forward inventory days</w:t>
      </w:r>
    </w:p>
    <w:p>
      <w:pPr>
        <w:pStyle w:val="FirstParagraph"/>
      </w:pPr>
      <w:r>
        <w:t xml:space="preserve">This would support further upward revisions to both 2026 and 2027 estimates.</w:t>
      </w:r>
    </w:p>
    <w:bookmarkEnd w:id="31"/>
    <w:bookmarkStart w:id="32" w:name="base-case"/>
    <w:p>
      <w:pPr>
        <w:pStyle w:val="Heading3"/>
      </w:pPr>
      <w:r>
        <w:t xml:space="preserve">Base case</w:t>
      </w:r>
    </w:p>
    <w:p>
      <w:pPr>
        <w:pStyle w:val="Compact"/>
        <w:numPr>
          <w:ilvl w:val="0"/>
          <w:numId w:val="1014"/>
        </w:numPr>
      </w:pPr>
      <w:r>
        <w:t xml:space="preserve">Q2 revenue around</w:t>
      </w:r>
      <w:r>
        <w:t xml:space="preserve"> </w:t>
      </w:r>
      <m:oMath>
        <m:r>
          <m:t>900</m:t>
        </m:r>
        <m:r>
          <m:t>m</m:t>
        </m:r>
        <m:r>
          <m:t>i</m:t>
        </m:r>
        <m:r>
          <m:t>l</m:t>
        </m:r>
        <m:r>
          <m:t>l</m:t>
        </m:r>
        <m:r>
          <m:t>i</m:t>
        </m:r>
        <m:r>
          <m:t>o</m:t>
        </m:r>
        <m:r>
          <m:t>n</m:t>
        </m:r>
        <m:r>
          <m:rPr>
            <m:sty m:val="p"/>
          </m:rPr>
          <m:t>–</m:t>
        </m:r>
      </m:oMath>
      <w:r>
        <w:rPr>
          <w:b/>
          <w:bCs/>
        </w:rPr>
        <w:t xml:space="preserve">910 million</w:t>
      </w:r>
    </w:p>
    <w:p>
      <w:pPr>
        <w:pStyle w:val="Compact"/>
        <w:numPr>
          <w:ilvl w:val="0"/>
          <w:numId w:val="1014"/>
        </w:numPr>
      </w:pPr>
      <w:r>
        <w:t xml:space="preserve">Gross margin around</w:t>
      </w:r>
      <w:r>
        <w:t xml:space="preserve"> </w:t>
      </w:r>
      <w:r>
        <w:rPr>
          <w:b/>
          <w:bCs/>
        </w:rPr>
        <w:t xml:space="preserve">55.5%–55.8%</w:t>
      </w:r>
    </w:p>
    <w:p>
      <w:pPr>
        <w:pStyle w:val="Compact"/>
        <w:numPr>
          <w:ilvl w:val="0"/>
          <w:numId w:val="1014"/>
        </w:numPr>
      </w:pPr>
      <w:r>
        <w:t xml:space="preserve">Q3 guidance of approximately</w:t>
      </w:r>
      <w:r>
        <w:t xml:space="preserve"> </w:t>
      </w:r>
      <m:oMath>
        <m:r>
          <m:t>970</m:t>
        </m:r>
        <m:r>
          <m:t>m</m:t>
        </m:r>
        <m:r>
          <m:t>i</m:t>
        </m:r>
        <m:r>
          <m:t>l</m:t>
        </m:r>
        <m:r>
          <m:t>l</m:t>
        </m:r>
        <m:r>
          <m:t>i</m:t>
        </m:r>
        <m:r>
          <m:t>o</m:t>
        </m:r>
        <m:r>
          <m:t>n</m:t>
        </m:r>
        <m:r>
          <m:rPr>
            <m:sty m:val="p"/>
          </m:rPr>
          <m:t>–</m:t>
        </m:r>
      </m:oMath>
      <w:r>
        <w:rPr>
          <w:b/>
          <w:bCs/>
        </w:rPr>
        <w:t xml:space="preserve">990 million</w:t>
      </w:r>
    </w:p>
    <w:p>
      <w:pPr>
        <w:pStyle w:val="Compact"/>
        <w:numPr>
          <w:ilvl w:val="0"/>
          <w:numId w:val="1014"/>
        </w:numPr>
      </w:pPr>
      <w:r>
        <w:t xml:space="preserve">Enterprise Data and Communications remain strong, but management retains the 85% growth floor</w:t>
      </w:r>
    </w:p>
    <w:p>
      <w:pPr>
        <w:pStyle w:val="Compact"/>
        <w:numPr>
          <w:ilvl w:val="0"/>
          <w:numId w:val="1014"/>
        </w:numPr>
      </w:pPr>
      <w:r>
        <w:t xml:space="preserve">Automotive begins a gradual second-half ramp</w:t>
      </w:r>
    </w:p>
    <w:p>
      <w:pPr>
        <w:pStyle w:val="FirstParagraph"/>
      </w:pPr>
      <w:r>
        <w:t xml:space="preserve">Fundamentals would remain strong, although the stock reaction could depend on whether investors were positioned for a larger guidance beat.</w:t>
      </w:r>
    </w:p>
    <w:bookmarkEnd w:id="32"/>
    <w:bookmarkStart w:id="33" w:name="bear-case"/>
    <w:p>
      <w:pPr>
        <w:pStyle w:val="Heading3"/>
      </w:pPr>
      <w:r>
        <w:t xml:space="preserve">Bear case</w:t>
      </w:r>
    </w:p>
    <w:p>
      <w:pPr>
        <w:pStyle w:val="Compact"/>
        <w:numPr>
          <w:ilvl w:val="0"/>
          <w:numId w:val="1015"/>
        </w:numPr>
      </w:pPr>
      <w:r>
        <w:t xml:space="preserve">Q2 revenue below</w:t>
      </w:r>
      <w:r>
        <w:t xml:space="preserve"> </w:t>
      </w:r>
      <w:r>
        <w:rPr>
          <w:b/>
          <w:bCs/>
        </w:rPr>
        <w:t xml:space="preserve">$890 million</w:t>
      </w:r>
      <w:r>
        <w:t xml:space="preserve"> </w:t>
      </w:r>
      <w:r>
        <w:t xml:space="preserve">or concentrated near the low end</w:t>
      </w:r>
    </w:p>
    <w:p>
      <w:pPr>
        <w:pStyle w:val="Compact"/>
        <w:numPr>
          <w:ilvl w:val="0"/>
          <w:numId w:val="1015"/>
        </w:numPr>
      </w:pPr>
      <w:r>
        <w:t xml:space="preserve">Q3 guidance below approximately</w:t>
      </w:r>
      <w:r>
        <w:t xml:space="preserve"> </w:t>
      </w:r>
      <w:r>
        <w:rPr>
          <w:b/>
          <w:bCs/>
        </w:rPr>
        <w:t xml:space="preserve">$960 million</w:t>
      </w:r>
    </w:p>
    <w:p>
      <w:pPr>
        <w:pStyle w:val="Compact"/>
        <w:numPr>
          <w:ilvl w:val="0"/>
          <w:numId w:val="1015"/>
        </w:numPr>
      </w:pPr>
      <w:r>
        <w:t xml:space="preserve">Enterprise Data ordering patterns shorten or customer ramps shift out</w:t>
      </w:r>
    </w:p>
    <w:p>
      <w:pPr>
        <w:pStyle w:val="Compact"/>
        <w:numPr>
          <w:ilvl w:val="0"/>
          <w:numId w:val="1015"/>
        </w:numPr>
      </w:pPr>
      <w:r>
        <w:t xml:space="preserve">Communications decelerates more sharply than expected</w:t>
      </w:r>
    </w:p>
    <w:p>
      <w:pPr>
        <w:pStyle w:val="Compact"/>
        <w:numPr>
          <w:ilvl w:val="0"/>
          <w:numId w:val="1015"/>
        </w:numPr>
      </w:pPr>
      <w:r>
        <w:t xml:space="preserve">Gross margin falls despite revenue growth</w:t>
      </w:r>
    </w:p>
    <w:p>
      <w:pPr>
        <w:pStyle w:val="Compact"/>
        <w:numPr>
          <w:ilvl w:val="0"/>
          <w:numId w:val="1015"/>
        </w:numPr>
      </w:pPr>
      <w:r>
        <w:t xml:space="preserve">Inventory continues rising faster than sales</w:t>
      </w:r>
    </w:p>
    <w:p>
      <w:pPr>
        <w:pStyle w:val="FirstParagraph"/>
      </w:pPr>
      <w:r>
        <w:t xml:space="preserve">That combination would challenge the view that MPWR’s AI-driven growth is both durable and highly profitable.</w:t>
      </w:r>
    </w:p>
    <w:p>
      <w:r>
        <w:pict>
          <v:rect style="width:0;height:1.5pt" o:hralign="center" o:hrstd="t" o:hr="t"/>
        </w:pict>
      </w:r>
    </w:p>
    <w:bookmarkEnd w:id="33"/>
    <w:bookmarkEnd w:id="34"/>
    <w:bookmarkStart w:id="35" w:name="bottom-line"/>
    <w:p>
      <w:pPr>
        <w:pStyle w:val="Heading2"/>
      </w:pPr>
      <w:r>
        <w:t xml:space="preserve">Bottom line</w:t>
      </w:r>
    </w:p>
    <w:p>
      <w:pPr>
        <w:pStyle w:val="FirstParagraph"/>
      </w:pPr>
      <w:r>
        <w:t xml:space="preserve">MPWR appears positioned to deliver another strong quarter, but</w:t>
      </w:r>
      <w:r>
        <w:t xml:space="preserve"> </w:t>
      </w:r>
      <w:r>
        <w:rPr>
          <w:b/>
          <w:bCs/>
        </w:rPr>
        <w:t xml:space="preserve">Q2 consensus is already close to the top half of management’s guidance</w:t>
      </w:r>
      <w:r>
        <w:t xml:space="preserve">. The decisive information will be the Q3 outlook and management’s confidence in the duration of Enterprise Data and Communications demand.</w:t>
      </w:r>
    </w:p>
    <w:p>
      <w:pPr>
        <w:pStyle w:val="BodyText"/>
      </w:pPr>
      <w:r>
        <w:t xml:space="preserve">The most constructive outcome is not simply a revenue beat. It is a beat accompanied by:</w:t>
      </w:r>
    </w:p>
    <w:p>
      <w:pPr>
        <w:pStyle w:val="Compact"/>
        <w:numPr>
          <w:ilvl w:val="0"/>
          <w:numId w:val="1016"/>
        </w:numPr>
      </w:pPr>
      <w:r>
        <w:t xml:space="preserve">Another increase in the Enterprise Data outlook</w:t>
      </w:r>
    </w:p>
    <w:p>
      <w:pPr>
        <w:pStyle w:val="Compact"/>
        <w:numPr>
          <w:ilvl w:val="0"/>
          <w:numId w:val="1016"/>
        </w:numPr>
      </w:pPr>
      <w:r>
        <w:t xml:space="preserve">Continued optical and switching acceleration</w:t>
      </w:r>
    </w:p>
    <w:p>
      <w:pPr>
        <w:pStyle w:val="Compact"/>
        <w:numPr>
          <w:ilvl w:val="0"/>
          <w:numId w:val="1016"/>
        </w:numPr>
      </w:pPr>
      <w:r>
        <w:t xml:space="preserve">Stable-to-improving gross margin</w:t>
      </w:r>
    </w:p>
    <w:p>
      <w:pPr>
        <w:pStyle w:val="Compact"/>
        <w:numPr>
          <w:ilvl w:val="0"/>
          <w:numId w:val="1016"/>
        </w:numPr>
      </w:pPr>
      <w:r>
        <w:t xml:space="preserve">Confirmation that capacity and inventory are aligned with firm customer demand</w:t>
      </w:r>
    </w:p>
    <w:p>
      <w:pPr>
        <w:pStyle w:val="FirstParagraph"/>
      </w:pPr>
      <w:r>
        <w:t xml:space="preserve">Absent those signals, a solid quarter could still be viewed as insufficient for a stock trading at more than 40× next year’s expected earnings.</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3" Target="https://stage.zacks.com/stock/quote/MPWR/detailed-earning-estimates?icid=SITE_SECTION-SUB_SECTION-quote_nav_tracking-zcom-left_subnav_quote_navbar-detailed_earning_estimates" TargetMode="External" /><Relationship Type="http://schemas.openxmlformats.org/officeDocument/2006/relationships/hyperlink" Id="rId21" Target="https://www.monolithicpower.com/media/investor-relations/events/MPS_Q1_2026_Earnings_Call_Transcript.pdf?utm_source=openai" TargetMode="External" /><Relationship Type="http://schemas.openxmlformats.org/officeDocument/2006/relationships/hyperlink" Id="rId9" Target="https://www.monolithicpower.com/media/investor-relations/press-releases/Q1_2026_MPS_Earnings_Commentary.pdf" TargetMode="External" /><Relationship Type="http://schemas.openxmlformats.org/officeDocument/2006/relationships/hyperlink" Id="rId27" Target="https://www.sec.gov/Archives/edgar/data/1280452/000143774926003191/mpwr20251110_8k.htm?utm_source=openai" TargetMode="External" /><Relationship Type="http://schemas.openxmlformats.org/officeDocument/2006/relationships/hyperlink" Id="rId25" Target="https://www.sec.gov/Archives/edgar/data/1280452/000143774926014647/mpwr20260331_10q.htm?utm_source=openai" TargetMode="External" /><Relationship Type="http://schemas.openxmlformats.org/officeDocument/2006/relationships/hyperlink" Id="rId12" Target="https://www.tradingview.com/news/zacks%3Abe87da6a4094b%3A0-is-mpwr-stock-a-smart-investment-option-before-q2-earnings-release/" TargetMode="External" /></Relationships>
</file>

<file path=word/_rels/footnotes.xml.rels><?xml version="1.0" encoding="UTF-8"?><Relationships xmlns="http://schemas.openxmlformats.org/package/2006/relationships"><Relationship Type="http://schemas.openxmlformats.org/officeDocument/2006/relationships/hyperlink" Id="rId23" Target="https://stage.zacks.com/stock/quote/MPWR/detailed-earning-estimates?icid=SITE_SECTION-SUB_SECTION-quote_nav_tracking-zcom-left_subnav_quote_navbar-detailed_earning_estimates" TargetMode="External" /><Relationship Type="http://schemas.openxmlformats.org/officeDocument/2006/relationships/hyperlink" Id="rId21" Target="https://www.monolithicpower.com/media/investor-relations/events/MPS_Q1_2026_Earnings_Call_Transcript.pdf?utm_source=openai" TargetMode="External" /><Relationship Type="http://schemas.openxmlformats.org/officeDocument/2006/relationships/hyperlink" Id="rId9" Target="https://www.monolithicpower.com/media/investor-relations/press-releases/Q1_2026_MPS_Earnings_Commentary.pdf" TargetMode="External" /><Relationship Type="http://schemas.openxmlformats.org/officeDocument/2006/relationships/hyperlink" Id="rId27" Target="https://www.sec.gov/Archives/edgar/data/1280452/000143774926003191/mpwr20251110_8k.htm?utm_source=openai" TargetMode="External" /><Relationship Type="http://schemas.openxmlformats.org/officeDocument/2006/relationships/hyperlink" Id="rId25" Target="https://www.sec.gov/Archives/edgar/data/1280452/000143774926014647/mpwr20260331_10q.htm?utm_source=openai" TargetMode="External" /><Relationship Type="http://schemas.openxmlformats.org/officeDocument/2006/relationships/hyperlink" Id="rId12" Target="https://www.tradingview.com/news/zacks%3Abe87da6a4094b%3A0-is-mpwr-stock-a-smart-investment-option-before-q2-earnings-releas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2026-07-29T19:31:47Z</dcterms:created>
  <dcterms:modified xsi:type="dcterms:W3CDTF">2026-07-29T19:31:47Z</dcterms:modified>
</cp:coreProperties>
</file>

<file path=docProps/custom.xml><?xml version="1.0" encoding="utf-8"?>
<Properties xmlns="http://schemas.openxmlformats.org/officeDocument/2006/custom-properties" xmlns:vt="http://schemas.openxmlformats.org/officeDocument/2006/docPropsVTypes"/>
</file>