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mpwr-q2-2026-earnings-preview"/>
    <w:p>
      <w:pPr>
        <w:pStyle w:val="Heading1"/>
      </w:pPr>
      <w:r>
        <w:t xml:space="preserve">MPWR Q2 2026 Earnings Preview</w:t>
      </w:r>
    </w:p>
    <w:p>
      <w:pPr>
        <w:pStyle w:val="FirstParagraph"/>
      </w:pPr>
      <w:r>
        <w:rPr>
          <w:b/>
          <w:bCs/>
        </w:rPr>
        <w:t xml:space="preserve">Event:</w:t>
      </w:r>
      <w:r>
        <w:t xml:space="preserve"> </w:t>
      </w:r>
      <w:r>
        <w:t xml:space="preserve">Thursday,</w:t>
      </w:r>
      <w:r>
        <w:t xml:space="preserve"> </w:t>
      </w:r>
      <w:r>
        <w:rPr>
          <w:b/>
          <w:bCs/>
        </w:rPr>
        <w:t xml:space="preserve">July 30, 2026</w:t>
      </w:r>
      <w:r>
        <w:t xml:space="preserve">, after the market close</w:t>
      </w:r>
      <w:r>
        <w:br/>
      </w:r>
      <w:r>
        <w:rPr>
          <w:b/>
          <w:bCs/>
        </w:rPr>
        <w:t xml:space="preserve">Company:</w:t>
      </w:r>
      <w:r>
        <w:t xml:space="preserve"> </w:t>
      </w:r>
      <w:r>
        <w:t xml:space="preserve">Monolithic Power Systems (MPWR)</w:t>
      </w:r>
      <w:r>
        <w:br/>
      </w:r>
      <w:r>
        <w:rPr>
          <w:b/>
          <w:bCs/>
        </w:rPr>
        <w:t xml:space="preserve">Bottom line:</w:t>
      </w:r>
      <w:r>
        <w:t xml:space="preserve"> </w:t>
      </w:r>
      <w:r>
        <w:t xml:space="preserve">This report is principally about whether MPWR can convert exceptional AI/server and optical-networking demand into another beat-and-raise quarter—</w:t>
      </w:r>
      <w:r>
        <w:rPr>
          <w:i/>
          <w:iCs/>
        </w:rPr>
        <w:t xml:space="preserve">without</w:t>
      </w:r>
      <w:r>
        <w:t xml:space="preserve"> </w:t>
      </w:r>
      <w:r>
        <w:t xml:space="preserve">compromising its roughly mid-55% gross-margin model. The company’s Q2 guide already implies a major step-up in revenue; the more important share-price determinant is likely to be the credibility and magnitude of the</w:t>
      </w:r>
      <w:r>
        <w:t xml:space="preserve"> </w:t>
      </w:r>
      <w:r>
        <w:rPr>
          <w:b/>
          <w:bCs/>
        </w:rPr>
        <w:t xml:space="preserve">second-half outlook</w:t>
      </w:r>
      <w:r>
        <w:t xml:space="preserve">, especially for Enterprise Data and Communications.</w:t>
      </w:r>
    </w:p>
    <w:bookmarkStart w:id="9" w:name="setup-company-guidance-is-already-strong"/>
    <w:p>
      <w:pPr>
        <w:pStyle w:val="Heading2"/>
      </w:pPr>
      <w:r>
        <w:t xml:space="preserve">Setup: company guidance is already strong</w:t>
      </w:r>
    </w:p>
    <w:p>
      <w:pPr>
        <w:pStyle w:val="FirstParagraph"/>
      </w:pPr>
      <w:r>
        <w:t xml:space="preserve">MPWR guided Q2 revenue to</w:t>
      </w:r>
      <w:r>
        <w:t xml:space="preserve"> </w:t>
      </w:r>
      <m:oMath>
        <m:r>
          <m:t>890</m:t>
        </m:r>
        <m:r>
          <m:rPr>
            <m:sty m:val="p"/>
          </m:rPr>
          <m:t>–</m:t>
        </m:r>
      </m:oMath>
      <w:r>
        <w:rPr>
          <w:b/>
          <w:bCs/>
        </w:rPr>
        <w:t xml:space="preserve">910 million</w:t>
      </w:r>
      <w:r>
        <w:t xml:space="preserve">, versus</w:t>
      </w:r>
      <w:r>
        <w:t xml:space="preserve"> </w:t>
      </w:r>
      <m:oMath>
        <m:r>
          <m:t>804.2</m:t>
        </m:r>
        <m:r>
          <m:t>m</m:t>
        </m:r>
        <m:r>
          <m:t>i</m:t>
        </m:r>
        <m:r>
          <m:t>l</m:t>
        </m:r>
        <m:r>
          <m:t>l</m:t>
        </m:r>
        <m:r>
          <m:t>i</m:t>
        </m:r>
        <m:r>
          <m:t>o</m:t>
        </m:r>
        <m:r>
          <m:t>n</m:t>
        </m:r>
        <m:r>
          <m:rPr>
            <m:sty m:val="p"/>
          </m:rPr>
          <m:t>*</m:t>
        </m:r>
        <m:r>
          <m:rPr>
            <m:sty m:val="p"/>
          </m:rPr>
          <m:t>*</m:t>
        </m:r>
        <m:r>
          <m:t>i</m:t>
        </m:r>
        <m:r>
          <m:t>n</m:t>
        </m:r>
        <m:r>
          <m:t>Q</m:t>
        </m:r>
        <m:r>
          <m:t>1</m:t>
        </m:r>
        <m:r>
          <m:t>a</m:t>
        </m:r>
        <m:r>
          <m:t>n</m:t>
        </m:r>
        <m:r>
          <m:t>d</m:t>
        </m:r>
        <m:r>
          <m:rPr>
            <m:sty m:val="p"/>
          </m:rPr>
          <m:t>*</m:t>
        </m:r>
        <m:r>
          <m:rPr>
            <m:sty m:val="p"/>
          </m:rPr>
          <m:t>*</m:t>
        </m:r>
      </m:oMath>
      <w:r>
        <w:rPr>
          <w:b/>
          <w:bCs/>
        </w:rPr>
        <w:t xml:space="preserve">664.6 million</w:t>
      </w:r>
      <w:r>
        <w:t xml:space="preserve"> </w:t>
      </w:r>
      <w:r>
        <w:t xml:space="preserve">in Q2 2025. At the</w:t>
      </w:r>
      <w:r>
        <w:t xml:space="preserve"> </w:t>
      </w:r>
      <m:oMath>
        <m:r>
          <m:t>900</m:t>
        </m:r>
        <m:r>
          <m:t>m</m:t>
        </m:r>
        <m:r>
          <m:t>i</m:t>
        </m:r>
        <m:r>
          <m:t>l</m:t>
        </m:r>
        <m:r>
          <m:t>l</m:t>
        </m:r>
        <m:r>
          <m:t>i</m:t>
        </m:r>
        <m:r>
          <m:t>o</m:t>
        </m:r>
        <m:r>
          <m:t>n</m:t>
        </m:r>
        <m:r>
          <m:t>m</m:t>
        </m:r>
        <m:r>
          <m:t>i</m:t>
        </m:r>
        <m:r>
          <m:t>d</m:t>
        </m:r>
        <m:r>
          <m:t>p</m:t>
        </m:r>
        <m:r>
          <m:t>o</m:t>
        </m:r>
        <m:r>
          <m:t>i</m:t>
        </m:r>
        <m:r>
          <m:t>n</m:t>
        </m:r>
        <m:r>
          <m:t>t</m:t>
        </m:r>
        <m:r>
          <m:rPr>
            <m:sty m:val="p"/>
          </m:rPr>
          <m:t>,</m:t>
        </m:r>
        <m:r>
          <m:t>t</m:t>
        </m:r>
        <m:r>
          <m:t>h</m:t>
        </m:r>
        <m:r>
          <m:t>a</m:t>
        </m:r>
        <m:r>
          <m:t>t</m:t>
        </m:r>
        <m:r>
          <m:t>i</m:t>
        </m:r>
        <m:r>
          <m:t>m</m:t>
        </m:r>
        <m:r>
          <m:t>p</m:t>
        </m:r>
        <m:r>
          <m:t>l</m:t>
        </m:r>
        <m:r>
          <m:t>i</m:t>
        </m:r>
        <m:r>
          <m:t>e</m:t>
        </m:r>
        <m:r>
          <m:t>s</m:t>
        </m:r>
        <m:r>
          <m:t>r</m:t>
        </m:r>
        <m:r>
          <m:t>o</m:t>
        </m:r>
        <m:r>
          <m:t>u</m:t>
        </m:r>
        <m:r>
          <m:t>g</m:t>
        </m:r>
        <m:r>
          <m:t>h</m:t>
        </m:r>
        <m:r>
          <m:t>l</m:t>
        </m:r>
        <m:r>
          <m:t>y</m:t>
        </m:r>
        <m:r>
          <m:rPr>
            <m:sty m:val="p"/>
          </m:rPr>
          <m:t>*</m:t>
        </m:r>
        <m:r>
          <m:rPr>
            <m:sty m:val="p"/>
          </m:rPr>
          <m:t>*</m:t>
        </m:r>
        <m:r>
          <m:t>12</m:t>
        </m:r>
      </m:oMath>
      <w:r>
        <w:t xml:space="preserve">167–$171 million**.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jc w:val="right"/>
            </w:pPr>
            <w:r>
              <w:t xml:space="preserve">Q2 2026 company guide</w:t>
            </w:r>
          </w:p>
        </w:tc>
        <w:tc>
          <w:tcPr/>
          <w:p>
            <w:pPr>
              <w:pStyle w:val="Compact"/>
              <w:jc w:val="right"/>
            </w:pPr>
            <w:r>
              <w:t xml:space="preserve">Midpoint</w:t>
            </w:r>
          </w:p>
        </w:tc>
        <w:tc>
          <w:tcPr/>
          <w:p>
            <w:pPr>
              <w:pStyle w:val="Compact"/>
              <w:jc w:val="right"/>
            </w:pPr>
            <w:r>
              <w:t xml:space="preserve">Q1 2026 actual</w:t>
            </w:r>
          </w:p>
        </w:tc>
        <w:tc>
          <w:tcPr/>
          <w:p>
            <w:pPr>
              <w:pStyle w:val="Compact"/>
              <w:jc w:val="right"/>
            </w:pPr>
            <w:r>
              <w:t xml:space="preserve">Q2 2025 actual</w:t>
            </w:r>
          </w:p>
        </w:tc>
      </w:tr>
      <w:tr>
        <w:tc>
          <w:tcPr/>
          <w:p>
            <w:pPr>
              <w:pStyle w:val="Compact"/>
            </w:pPr>
            <w:r>
              <w:t xml:space="preserve">Revenue</w:t>
            </w:r>
          </w:p>
        </w:tc>
        <w:tc>
          <w:tcPr/>
          <w:p>
            <w:pPr>
              <w:pStyle w:val="Compact"/>
              <w:jc w:val="right"/>
            </w:pPr>
            <m:oMath>
              <m:r>
                <m:t>890</m:t>
              </m:r>
              <m:r>
                <m:t>M</m:t>
              </m:r>
              <m:r>
                <m:rPr>
                  <m:sty m:val="p"/>
                </m:rPr>
                <m:t>–</m:t>
              </m:r>
            </m:oMath>
            <w:r>
              <w:t xml:space="preserve">910M</w:t>
            </w:r>
          </w:p>
        </w:tc>
        <w:tc>
          <w:tcPr/>
          <w:p>
            <w:pPr>
              <w:pStyle w:val="Compact"/>
              <w:jc w:val="right"/>
            </w:pPr>
            <w:r>
              <w:rPr>
                <w:b/>
                <w:bCs/>
              </w:rPr>
              <w:t xml:space="preserve">$900M</w:t>
            </w:r>
          </w:p>
        </w:tc>
        <w:tc>
          <w:tcPr/>
          <w:p>
            <w:pPr>
              <w:pStyle w:val="Compact"/>
              <w:jc w:val="right"/>
            </w:pPr>
            <w:r>
              <w:t xml:space="preserve">$804.2M</w:t>
            </w:r>
          </w:p>
        </w:tc>
        <w:tc>
          <w:tcPr/>
          <w:p>
            <w:pPr>
              <w:pStyle w:val="Compact"/>
              <w:jc w:val="right"/>
            </w:pPr>
            <w:r>
              <w:t xml:space="preserve">$664.6M</w:t>
            </w:r>
          </w:p>
        </w:tc>
      </w:tr>
      <w:tr>
        <w:tc>
          <w:tcPr/>
          <w:p>
            <w:pPr>
              <w:pStyle w:val="Compact"/>
            </w:pPr>
            <w:r>
              <w:t xml:space="preserve">Non-GAAP gross margin</w:t>
            </w:r>
          </w:p>
        </w:tc>
        <w:tc>
          <w:tcPr/>
          <w:p>
            <w:pPr>
              <w:pStyle w:val="Compact"/>
              <w:jc w:val="right"/>
            </w:pPr>
            <w:r>
              <w:t xml:space="preserve">55.3%–55.9%</w:t>
            </w:r>
          </w:p>
        </w:tc>
        <w:tc>
          <w:tcPr/>
          <w:p>
            <w:pPr>
              <w:pStyle w:val="Compact"/>
              <w:jc w:val="right"/>
            </w:pPr>
            <w:r>
              <w:rPr>
                <w:b/>
                <w:bCs/>
              </w:rPr>
              <w:t xml:space="preserve">55.6%</w:t>
            </w:r>
          </w:p>
        </w:tc>
        <w:tc>
          <w:tcPr/>
          <w:p>
            <w:pPr>
              <w:pStyle w:val="Compact"/>
              <w:jc w:val="right"/>
            </w:pPr>
            <w:r>
              <w:t xml:space="preserve">55.5%</w:t>
            </w:r>
          </w:p>
        </w:tc>
        <w:tc>
          <w:tcPr/>
          <w:p>
            <w:pPr>
              <w:pStyle w:val="Compact"/>
              <w:jc w:val="right"/>
            </w:pPr>
            <w:r>
              <w:t xml:space="preserve">55.5%</w:t>
            </w:r>
          </w:p>
        </w:tc>
      </w:tr>
      <w:tr>
        <w:tc>
          <w:tcPr/>
          <w:p>
            <w:pPr>
              <w:pStyle w:val="Compact"/>
            </w:pPr>
            <w:r>
              <w:t xml:space="preserve">Non-GAAP opex</w:t>
            </w:r>
          </w:p>
        </w:tc>
        <w:tc>
          <w:tcPr/>
          <w:p>
            <w:pPr>
              <w:pStyle w:val="Compact"/>
              <w:jc w:val="right"/>
            </w:pPr>
            <m:oMath>
              <m:r>
                <m:t>167</m:t>
              </m:r>
              <m:r>
                <m:t>M</m:t>
              </m:r>
              <m:r>
                <m:rPr>
                  <m:sty m:val="p"/>
                </m:rPr>
                <m:t>–</m:t>
              </m:r>
            </m:oMath>
            <w:r>
              <w:t xml:space="preserve">171M</w:t>
            </w:r>
          </w:p>
        </w:tc>
        <w:tc>
          <w:tcPr/>
          <w:p>
            <w:pPr>
              <w:pStyle w:val="Compact"/>
              <w:jc w:val="right"/>
            </w:pPr>
            <w:r>
              <w:rPr>
                <w:b/>
                <w:bCs/>
              </w:rPr>
              <w:t xml:space="preserve">$169M</w:t>
            </w:r>
          </w:p>
        </w:tc>
        <w:tc>
          <w:tcPr/>
          <w:p>
            <w:pPr>
              <w:pStyle w:val="Compact"/>
              <w:jc w:val="right"/>
            </w:pPr>
            <w:r>
              <w:t xml:space="preserve">$158.3M</w:t>
            </w:r>
          </w:p>
        </w:tc>
        <w:tc>
          <w:tcPr/>
          <w:p>
            <w:pPr>
              <w:pStyle w:val="Compact"/>
              <w:jc w:val="right"/>
            </w:pPr>
            <w:r>
              <w:t xml:space="preserve">$137.6M</w:t>
            </w:r>
          </w:p>
        </w:tc>
      </w:tr>
      <w:tr>
        <w:tc>
          <w:tcPr/>
          <w:p>
            <w:pPr>
              <w:pStyle w:val="Compact"/>
            </w:pPr>
            <w:r>
              <w:t xml:space="preserve">Non-GAAP tax rate</w:t>
            </w:r>
          </w:p>
        </w:tc>
        <w:tc>
          <w:tcPr/>
          <w:p>
            <w:pPr>
              <w:pStyle w:val="Compact"/>
              <w:jc w:val="right"/>
            </w:pPr>
            <w:r>
              <w:t xml:space="preserve">15%</w:t>
            </w:r>
          </w:p>
        </w:tc>
        <w:tc>
          <w:tcPr/>
          <w:p>
            <w:pPr>
              <w:pStyle w:val="Compact"/>
              <w:jc w:val="right"/>
            </w:pPr>
            <w:r>
              <w:rPr>
                <w:b/>
                <w:bCs/>
              </w:rPr>
              <w:t xml:space="preserve">15%</w:t>
            </w:r>
          </w:p>
        </w:tc>
        <w:tc>
          <w:tcPr/>
          <w:p>
            <w:pPr>
              <w:pStyle w:val="Compact"/>
              <w:jc w:val="right"/>
            </w:pPr>
            <w:r>
              <w:t xml:space="preserve">15%</w:t>
            </w:r>
          </w:p>
        </w:tc>
        <w:tc>
          <w:tcPr/>
          <w:p>
            <w:pPr>
              <w:pStyle w:val="Compact"/>
              <w:jc w:val="right"/>
            </w:pPr>
            <w:r>
              <w:t xml:space="preserve">15%</w:t>
            </w:r>
          </w:p>
        </w:tc>
      </w:tr>
      <w:tr>
        <w:tc>
          <w:tcPr/>
          <w:p>
            <w:pPr>
              <w:pStyle w:val="Compact"/>
            </w:pPr>
            <w:r>
              <w:t xml:space="preserve">Diluted shares</w:t>
            </w:r>
          </w:p>
        </w:tc>
        <w:tc>
          <w:tcPr/>
          <w:p>
            <w:pPr>
              <w:pStyle w:val="Compact"/>
              <w:jc w:val="right"/>
            </w:pPr>
            <w:r>
              <w:t xml:space="preserve">49.1M–49.5M</w:t>
            </w:r>
          </w:p>
        </w:tc>
        <w:tc>
          <w:tcPr/>
          <w:p>
            <w:pPr>
              <w:pStyle w:val="Compact"/>
              <w:jc w:val="right"/>
            </w:pPr>
            <w:r>
              <w:rPr>
                <w:b/>
                <w:bCs/>
              </w:rPr>
              <w:t xml:space="preserve">49.3M</w:t>
            </w:r>
          </w:p>
        </w:tc>
        <w:tc>
          <w:tcPr/>
          <w:p>
            <w:pPr>
              <w:pStyle w:val="Compact"/>
              <w:jc w:val="right"/>
            </w:pPr>
            <w:r>
              <w:t xml:space="preserve">49.2M</w:t>
            </w:r>
          </w:p>
        </w:tc>
        <w:tc>
          <w:tcPr/>
          <w:p>
            <w:pPr>
              <w:pStyle w:val="Compact"/>
              <w:jc w:val="right"/>
            </w:pPr>
            <w:r>
              <w:t xml:space="preserve">48.0M</w:t>
            </w:r>
          </w:p>
        </w:tc>
      </w:tr>
    </w:tbl>
    <w:p>
      <w:pPr>
        <w:pStyle w:val="BodyText"/>
      </w:pPr>
      <w:r>
        <w:t xml:space="preserve">Using only the company’s guided assumptions—not a sell-side consensus estimate—the implied non-GAAP EPS range is approximately</w:t>
      </w:r>
      <w:r>
        <w:t xml:space="preserve"> </w:t>
      </w:r>
      <m:oMath>
        <m:r>
          <m:t>5.64</m:t>
        </m:r>
        <m:r>
          <m:rPr>
            <m:sty m:val="p"/>
          </m:rPr>
          <m:t>–</m:t>
        </m:r>
      </m:oMath>
      <w:r>
        <w:rPr>
          <w:b/>
          <w:bCs/>
        </w:rPr>
        <w:t xml:space="preserve">6.05</w:t>
      </w:r>
      <w:r>
        <w:t xml:space="preserve">, with a midpoint near</w:t>
      </w:r>
      <w:r>
        <w:t xml:space="preserve"> </w:t>
      </w:r>
      <m:oMath>
        <m:r>
          <m:t>5.84</m:t>
        </m:r>
        <m:r>
          <m:rPr>
            <m:sty m:val="p"/>
          </m:rPr>
          <m:t>*</m:t>
        </m:r>
        <m:r>
          <m:rPr>
            <m:sty m:val="p"/>
          </m:rPr>
          <m:t>*</m:t>
        </m:r>
        <m:r>
          <m:rPr>
            <m:sty m:val="p"/>
          </m:rPr>
          <m:t>.</m:t>
        </m:r>
        <m:r>
          <m:t>T</m:t>
        </m:r>
        <m:r>
          <m:t>h</m:t>
        </m:r>
        <m:r>
          <m:t>a</m:t>
        </m:r>
        <m:r>
          <m:t>t</m:t>
        </m:r>
        <m:r>
          <m:t>w</m:t>
        </m:r>
        <m:r>
          <m:t>o</m:t>
        </m:r>
        <m:r>
          <m:t>u</m:t>
        </m:r>
        <m:r>
          <m:t>l</m:t>
        </m:r>
        <m:r>
          <m:t>d</m:t>
        </m:r>
        <m:r>
          <m:t>r</m:t>
        </m:r>
        <m:r>
          <m:t>e</m:t>
        </m:r>
        <m:r>
          <m:t>p</m:t>
        </m:r>
        <m:r>
          <m:t>r</m:t>
        </m:r>
        <m:r>
          <m:t>e</m:t>
        </m:r>
        <m:r>
          <m:t>s</m:t>
        </m:r>
        <m:r>
          <m:t>e</m:t>
        </m:r>
        <m:r>
          <m:t>n</m:t>
        </m:r>
        <m:r>
          <m:t>t</m:t>
        </m:r>
        <m:r>
          <m:t>s</m:t>
        </m:r>
        <m:r>
          <m:t>u</m:t>
        </m:r>
        <m:r>
          <m:t>b</m:t>
        </m:r>
        <m:r>
          <m:t>s</m:t>
        </m:r>
        <m:r>
          <m:t>t</m:t>
        </m:r>
        <m:r>
          <m:t>a</m:t>
        </m:r>
        <m:r>
          <m:t>n</m:t>
        </m:r>
        <m:r>
          <m:t>t</m:t>
        </m:r>
        <m:r>
          <m:t>i</m:t>
        </m:r>
        <m:r>
          <m:t>a</m:t>
        </m:r>
        <m:r>
          <m:t>l</m:t>
        </m:r>
        <m:r>
          <m:t>g</m:t>
        </m:r>
        <m:r>
          <m:t>r</m:t>
        </m:r>
        <m:r>
          <m:t>o</m:t>
        </m:r>
        <m:r>
          <m:t>w</m:t>
        </m:r>
        <m:r>
          <m:t>t</m:t>
        </m:r>
        <m:r>
          <m:t>h</m:t>
        </m:r>
        <m:r>
          <m:t>f</m:t>
        </m:r>
        <m:r>
          <m:t>r</m:t>
        </m:r>
        <m:r>
          <m:t>o</m:t>
        </m:r>
        <m:r>
          <m:t>m</m:t>
        </m:r>
        <m:r>
          <m:rPr>
            <m:sty m:val="p"/>
          </m:rPr>
          <m:t>*</m:t>
        </m:r>
        <m:r>
          <m:rPr>
            <m:sty m:val="p"/>
          </m:rPr>
          <m:t>*</m:t>
        </m:r>
      </m:oMath>
      <w:r>
        <w:rPr>
          <w:b/>
          <w:bCs/>
        </w:rPr>
        <w:t xml:space="preserve">4.21</w:t>
      </w:r>
      <w:r>
        <w:t xml:space="preserve"> </w:t>
      </w:r>
      <w:r>
        <w:t xml:space="preserve">in Q2 2025 and</w:t>
      </w:r>
      <w:r>
        <w:t xml:space="preserve"> </w:t>
      </w:r>
      <w:r>
        <w:rPr>
          <w:b/>
          <w:bCs/>
        </w:rPr>
        <w:t xml:space="preserve">$5.10</w:t>
      </w:r>
      <w:r>
        <w:t xml:space="preserve"> </w:t>
      </w:r>
      <w:r>
        <w:t xml:space="preserve">in Q1 2026.</w:t>
      </w:r>
    </w:p>
    <w:bookmarkEnd w:id="9"/>
    <w:bookmarkStart w:id="15" w:name="what-matters-most"/>
    <w:p>
      <w:pPr>
        <w:pStyle w:val="Heading2"/>
      </w:pPr>
      <w:r>
        <w:t xml:space="preserve">What matters most</w:t>
      </w:r>
    </w:p>
    <w:bookmarkStart w:id="10" w:name="Xa496321f8ed3a402d18835532cff23d945afe7d"/>
    <w:p>
      <w:pPr>
        <w:pStyle w:val="Heading3"/>
      </w:pPr>
      <w:r>
        <w:t xml:space="preserve">1. Enterprise Data: the central swing factor</w:t>
      </w:r>
    </w:p>
    <w:p>
      <w:pPr>
        <w:pStyle w:val="FirstParagraph"/>
      </w:pPr>
      <w:r>
        <w:t xml:space="preserve">Enterprise Data was the standout business in Q1: revenue reached</w:t>
      </w:r>
      <w:r>
        <w:t xml:space="preserve"> </w:t>
      </w:r>
      <w:r>
        <w:rPr>
          <w:b/>
          <w:bCs/>
        </w:rPr>
        <w:t xml:space="preserve">$262.8 million</w:t>
      </w:r>
      <w:r>
        <w:t xml:space="preserve">, up</w:t>
      </w:r>
      <w:r>
        <w:t xml:space="preserve"> </w:t>
      </w:r>
      <w:r>
        <w:rPr>
          <w:b/>
          <w:bCs/>
        </w:rPr>
        <w:t xml:space="preserve">12.6% sequentially</w:t>
      </w:r>
      <w:r>
        <w:t xml:space="preserve"> </w:t>
      </w:r>
      <w:r>
        <w:t xml:space="preserve">and</w:t>
      </w:r>
      <w:r>
        <w:t xml:space="preserve"> </w:t>
      </w:r>
      <w:r>
        <w:rPr>
          <w:b/>
          <w:bCs/>
        </w:rPr>
        <w:t xml:space="preserve">97.7% year over year</w:t>
      </w:r>
      <w:r>
        <w:t xml:space="preserve">, to 32.7% of consolidated sales. The segment benefited from AI and server power-management solutions.</w:t>
      </w:r>
    </w:p>
    <w:p>
      <w:pPr>
        <w:pStyle w:val="BodyText"/>
      </w:pPr>
      <w:r>
        <w:t xml:space="preserve">More importantly, management raised its 2026 Enterprise Data growth “floor” on the Q1 call to approximately</w:t>
      </w:r>
      <w:r>
        <w:t xml:space="preserve"> </w:t>
      </w:r>
      <w:r>
        <w:rPr>
          <w:b/>
          <w:bCs/>
        </w:rPr>
        <w:t xml:space="preserve">85% year over year</w:t>
      </w:r>
      <w:r>
        <w:t xml:space="preserve">, from the prior 50% floor, citing extended order patterns and improved backlog visibility. This is the fundamental benchmark for the call.</w:t>
      </w:r>
    </w:p>
    <w:p>
      <w:pPr>
        <w:pStyle w:val="BodyText"/>
      </w:pPr>
      <w:r>
        <w:rPr>
          <w:b/>
          <w:bCs/>
        </w:rPr>
        <w:t xml:space="preserve">What investors should listen for:</w:t>
      </w:r>
    </w:p>
    <w:p>
      <w:pPr>
        <w:pStyle w:val="Compact"/>
        <w:numPr>
          <w:ilvl w:val="0"/>
          <w:numId w:val="1001"/>
        </w:numPr>
      </w:pPr>
      <w:r>
        <w:t xml:space="preserve">Whether Enterprise Data grew at least in line with, or ahead of, the corporate average in Q2.</w:t>
      </w:r>
    </w:p>
    <w:p>
      <w:pPr>
        <w:pStyle w:val="Compact"/>
        <w:numPr>
          <w:ilvl w:val="0"/>
          <w:numId w:val="1001"/>
        </w:numPr>
      </w:pPr>
      <w:r>
        <w:t xml:space="preserve">Evidence that CPU/server, AI accelerators, and custom ASIC programs are all contributing—not merely one concentrated platform.</w:t>
      </w:r>
    </w:p>
    <w:p>
      <w:pPr>
        <w:pStyle w:val="Compact"/>
        <w:numPr>
          <w:ilvl w:val="0"/>
          <w:numId w:val="1001"/>
        </w:numPr>
      </w:pPr>
      <w:r>
        <w:t xml:space="preserve">Any change to the 85% full-year growth floor.</w:t>
      </w:r>
    </w:p>
    <w:p>
      <w:pPr>
        <w:pStyle w:val="Compact"/>
        <w:numPr>
          <w:ilvl w:val="0"/>
          <w:numId w:val="1001"/>
        </w:numPr>
      </w:pPr>
      <w:r>
        <w:t xml:space="preserve">Commentary on supply availability. Management said it did</w:t>
      </w:r>
      <w:r>
        <w:t xml:space="preserve"> </w:t>
      </w:r>
      <w:r>
        <w:rPr>
          <w:b/>
          <w:bCs/>
        </w:rPr>
        <w:t xml:space="preserve">not</w:t>
      </w:r>
      <w:r>
        <w:t xml:space="preserve"> </w:t>
      </w:r>
      <w:r>
        <w:t xml:space="preserve">view supply constraints as a limitation on its Enterprise Data outlook, which raises the bar for execution.</w:t>
      </w:r>
    </w:p>
    <w:p>
      <w:pPr>
        <w:pStyle w:val="FirstParagraph"/>
      </w:pPr>
      <w:r>
        <w:t xml:space="preserve">A maintained or increased floor would support the view that MPWR is taking durable content/share in AI power rather than simply benefiting from a short-lived demand surge.</w:t>
      </w:r>
    </w:p>
    <w:bookmarkEnd w:id="10"/>
    <w:bookmarkStart w:id="11" w:name="Xf1642016b35c030ee2d5493f339588f6c2b7794"/>
    <w:p>
      <w:pPr>
        <w:pStyle w:val="Heading3"/>
      </w:pPr>
      <w:r>
        <w:t xml:space="preserve">2. Communications could be the upside lever</w:t>
      </w:r>
    </w:p>
    <w:p>
      <w:pPr>
        <w:pStyle w:val="FirstParagraph"/>
      </w:pPr>
      <w:r>
        <w:t xml:space="preserve">Communications revenue rose</w:t>
      </w:r>
      <w:r>
        <w:t xml:space="preserve"> </w:t>
      </w:r>
      <w:r>
        <w:rPr>
          <w:b/>
          <w:bCs/>
        </w:rPr>
        <w:t xml:space="preserve">33.1% sequentially</w:t>
      </w:r>
      <w:r>
        <w:t xml:space="preserve"> </w:t>
      </w:r>
      <w:r>
        <w:t xml:space="preserve">in Q1, driven by power solutions for optical modules and switches. Management indicated that Communications should grow faster than the company average in Q2 and described ordering patterns as extending through the year.</w:t>
      </w:r>
    </w:p>
    <w:p>
      <w:pPr>
        <w:pStyle w:val="BodyText"/>
      </w:pPr>
      <w:r>
        <w:t xml:space="preserve">This business matters because it broadens MPWR’s AI infrastructure exposure beyond server-board power. Its products can participate in optical modules, switches, NICs, and other power-intensive rack-level equipment.</w:t>
      </w:r>
    </w:p>
    <w:p>
      <w:pPr>
        <w:pStyle w:val="BodyText"/>
      </w:pPr>
      <w:r>
        <w:rPr>
          <w:b/>
          <w:bCs/>
        </w:rPr>
        <w:t xml:space="preserve">Key question:</w:t>
      </w:r>
      <w:r>
        <w:t xml:space="preserve"> </w:t>
      </w:r>
      <w:r>
        <w:t xml:space="preserve">Did the optical and switching ramp continue strongly enough to support an above-corporate growth trajectory into the second half? A positive answer would reduce concerns that MPWR’s AI exposure is overly dependent on one server-power cycle.</w:t>
      </w:r>
    </w:p>
    <w:bookmarkEnd w:id="11"/>
    <w:bookmarkStart w:id="12" w:name="X204d11c38f04ec7d5fcdcc8cac9c733b06d1e11"/>
    <w:p>
      <w:pPr>
        <w:pStyle w:val="Heading3"/>
      </w:pPr>
      <w:r>
        <w:t xml:space="preserve">3. Gross margin: stable is good, but the outlook matters more</w:t>
      </w:r>
    </w:p>
    <w:p>
      <w:pPr>
        <w:pStyle w:val="FirstParagraph"/>
      </w:pPr>
      <w:r>
        <w:t xml:space="preserve">MPWR has delivered non-GAAP gross margins around</w:t>
      </w:r>
      <w:r>
        <w:t xml:space="preserve"> </w:t>
      </w:r>
      <w:r>
        <w:rPr>
          <w:b/>
          <w:bCs/>
        </w:rPr>
        <w:t xml:space="preserve">55.5%</w:t>
      </w:r>
      <w:r>
        <w:t xml:space="preserve"> </w:t>
      </w:r>
      <w:r>
        <w:t xml:space="preserve">for several quarters. The Q2 guide again calls for 55.3%–55.9%, despite very strong revenue growth.</w:t>
      </w:r>
    </w:p>
    <w:p>
      <w:pPr>
        <w:pStyle w:val="BodyText"/>
      </w:pPr>
      <w:r>
        <w:t xml:space="preserve">That stability is strategically important. It suggests that higher volumes, a mix shift toward modules, supply-chain costs, and pricing actions are currently balancing out. However, management cautioned in Q1 that it saw possible gross-margin headwinds in the second half.</w:t>
      </w:r>
    </w:p>
    <w:p>
      <w:pPr>
        <w:pStyle w:val="BodyText"/>
      </w:pPr>
      <w:r>
        <w:rPr>
          <w:b/>
          <w:bCs/>
        </w:rPr>
        <w:t xml:space="preserve">The key issue is not whether Q2 lands within the 55.3%–55.9% range; it is whether Q3 guidance preserves the mid-55% level.</w:t>
      </w:r>
    </w:p>
    <w:p>
      <w:pPr>
        <w:pStyle w:val="BodyText"/>
      </w:pPr>
      <w:r>
        <w:t xml:space="preserve">Watch for:</w:t>
      </w:r>
    </w:p>
    <w:p>
      <w:pPr>
        <w:pStyle w:val="Compact"/>
        <w:numPr>
          <w:ilvl w:val="0"/>
          <w:numId w:val="1002"/>
        </w:numPr>
      </w:pPr>
      <w:r>
        <w:t xml:space="preserve">Module yields and mix effects;</w:t>
      </w:r>
    </w:p>
    <w:p>
      <w:pPr>
        <w:pStyle w:val="Compact"/>
        <w:numPr>
          <w:ilvl w:val="0"/>
          <w:numId w:val="1002"/>
        </w:numPr>
      </w:pPr>
      <w:r>
        <w:t xml:space="preserve">Input-cost or tariff pressure;</w:t>
      </w:r>
    </w:p>
    <w:p>
      <w:pPr>
        <w:pStyle w:val="Compact"/>
        <w:numPr>
          <w:ilvl w:val="0"/>
          <w:numId w:val="1002"/>
        </w:numPr>
      </w:pPr>
      <w:r>
        <w:t xml:space="preserve">Pricing actions intended to protect margin;</w:t>
      </w:r>
    </w:p>
    <w:p>
      <w:pPr>
        <w:pStyle w:val="Compact"/>
        <w:numPr>
          <w:ilvl w:val="0"/>
          <w:numId w:val="1002"/>
        </w:numPr>
      </w:pPr>
      <w:r>
        <w:t xml:space="preserve">Whether higher-value system/module content ultimately becomes accretive to gross margin.</w:t>
      </w:r>
    </w:p>
    <w:bookmarkEnd w:id="12"/>
    <w:bookmarkStart w:id="13" w:name="X7550901756e8105bce1b052205cae15acef0e13"/>
    <w:p>
      <w:pPr>
        <w:pStyle w:val="Heading3"/>
      </w:pPr>
      <w:r>
        <w:t xml:space="preserve">4. Storage &amp; Computing: distinguish storage strength from notebook softness</w:t>
      </w:r>
    </w:p>
    <w:p>
      <w:pPr>
        <w:pStyle w:val="FirstParagraph"/>
      </w:pPr>
      <w:r>
        <w:t xml:space="preserve">Storage &amp; Computing grew</w:t>
      </w:r>
      <w:r>
        <w:t xml:space="preserve"> </w:t>
      </w:r>
      <w:r>
        <w:rPr>
          <w:b/>
          <w:bCs/>
        </w:rPr>
        <w:t xml:space="preserve">7.6% sequentially</w:t>
      </w:r>
      <w:r>
        <w:t xml:space="preserve"> </w:t>
      </w:r>
      <w:r>
        <w:t xml:space="preserve">in Q1 but declined</w:t>
      </w:r>
      <w:r>
        <w:t xml:space="preserve"> </w:t>
      </w:r>
      <w:r>
        <w:rPr>
          <w:b/>
          <w:bCs/>
        </w:rPr>
        <w:t xml:space="preserve">7.5% year over year</w:t>
      </w:r>
      <w:r>
        <w:t xml:space="preserve">. The segment contains two very different businesses:</w:t>
      </w:r>
    </w:p>
    <w:p>
      <w:pPr>
        <w:pStyle w:val="Compact"/>
        <w:numPr>
          <w:ilvl w:val="0"/>
          <w:numId w:val="1003"/>
        </w:numPr>
      </w:pPr>
      <w:r>
        <w:rPr>
          <w:b/>
          <w:bCs/>
        </w:rPr>
        <w:t xml:space="preserve">Storage/memory:</w:t>
      </w:r>
      <w:r>
        <w:t xml:space="preserve"> </w:t>
      </w:r>
      <w:r>
        <w:t xml:space="preserve">benefiting from data-center demand, including DDR5, HDD, and SSD-related power;</w:t>
      </w:r>
    </w:p>
    <w:p>
      <w:pPr>
        <w:pStyle w:val="Compact"/>
        <w:numPr>
          <w:ilvl w:val="0"/>
          <w:numId w:val="1003"/>
        </w:numPr>
      </w:pPr>
      <w:r>
        <w:rPr>
          <w:b/>
          <w:bCs/>
        </w:rPr>
        <w:t xml:space="preserve">Notebooks:</w:t>
      </w:r>
      <w:r>
        <w:t xml:space="preserve"> </w:t>
      </w:r>
      <w:r>
        <w:t xml:space="preserve">where management remained cautious because of memory-price and supply-related risks, as well as exposure to more consumer-oriented, lower-margin applications.</w:t>
      </w:r>
    </w:p>
    <w:p>
      <w:pPr>
        <w:pStyle w:val="FirstParagraph"/>
      </w:pPr>
      <w:r>
        <w:t xml:space="preserve">The report should clarify whether robust storage demand is overcoming weaker notebook demand. Investors should not treat segment-level results as a clean read-through to either market.</w:t>
      </w:r>
    </w:p>
    <w:bookmarkEnd w:id="13"/>
    <w:bookmarkStart w:id="14" w:name="Xaab7873fef07a7edfd380aeef3601e9420287d7"/>
    <w:p>
      <w:pPr>
        <w:pStyle w:val="Heading3"/>
      </w:pPr>
      <w:r>
        <w:t xml:space="preserve">5. Automotive is a second-half setup, not a Q2 catalyst</w:t>
      </w:r>
    </w:p>
    <w:p>
      <w:pPr>
        <w:pStyle w:val="FirstParagraph"/>
      </w:pPr>
      <w:r>
        <w:t xml:space="preserve">Automotive was nearly flat sequentially in Q1 at</w:t>
      </w:r>
      <w:r>
        <w:t xml:space="preserve"> </w:t>
      </w:r>
      <w:r>
        <w:rPr>
          <w:b/>
          <w:bCs/>
        </w:rPr>
        <w:t xml:space="preserve">$152.4 million</w:t>
      </w:r>
      <w:r>
        <w:t xml:space="preserve">. Management’s framework was for a broadly flat first half followed by a ramp later in 2026 as previously won designs enter production.</w:t>
      </w:r>
    </w:p>
    <w:p>
      <w:pPr>
        <w:pStyle w:val="BodyText"/>
      </w:pPr>
      <w:r>
        <w:t xml:space="preserve">Accordingly, Q2 Automotive upside would be welcome, but the more consequential item is confirmation of the expected</w:t>
      </w:r>
      <w:r>
        <w:t xml:space="preserve"> </w:t>
      </w:r>
      <w:r>
        <w:rPr>
          <w:b/>
          <w:bCs/>
        </w:rPr>
        <w:t xml:space="preserve">second-half design-win conversion</w:t>
      </w:r>
      <w:r>
        <w:t xml:space="preserve">. Continued delays could pressure confidence in MPWR’s diversification narrative, while an earlier ramp would provide a second growth engine beyond data center.</w:t>
      </w:r>
    </w:p>
    <w:bookmarkEnd w:id="14"/>
    <w:bookmarkEnd w:id="15"/>
    <w:bookmarkStart w:id="16" w:name="X5ca448f63bdd92355b88286c190d3409519ee01"/>
    <w:p>
      <w:pPr>
        <w:pStyle w:val="Heading2"/>
      </w:pPr>
      <w:r>
        <w:t xml:space="preserve">Emerging opportunities: important strategically, unlikely to drive 2026 estimates</w:t>
      </w:r>
    </w:p>
    <w:p>
      <w:pPr>
        <w:pStyle w:val="FirstParagraph"/>
      </w:pPr>
      <w:r>
        <w:t xml:space="preserve">MPWR is investing in several longer-duration opportunities:</w:t>
      </w:r>
    </w:p>
    <w:p>
      <w:pPr>
        <w:pStyle w:val="Compact"/>
        <w:numPr>
          <w:ilvl w:val="0"/>
          <w:numId w:val="1004"/>
        </w:numPr>
      </w:pPr>
      <w:r>
        <w:rPr>
          <w:b/>
          <w:bCs/>
        </w:rPr>
        <w:t xml:space="preserve">800V data-center power architectures:</w:t>
      </w:r>
      <w:r>
        <w:t xml:space="preserve"> </w:t>
      </w:r>
      <w:r>
        <w:t xml:space="preserve">Management said it is sampling/co-developing silicon-carbide-based solutions for higher-voltage data-center power conversion.</w:t>
      </w:r>
    </w:p>
    <w:p>
      <w:pPr>
        <w:pStyle w:val="Compact"/>
        <w:numPr>
          <w:ilvl w:val="0"/>
          <w:numId w:val="1004"/>
        </w:numPr>
      </w:pPr>
      <w:r>
        <w:rPr>
          <w:b/>
          <w:bCs/>
        </w:rPr>
        <w:t xml:space="preserve">GaN:</w:t>
      </w:r>
      <w:r>
        <w:t xml:space="preserve"> </w:t>
      </w:r>
      <w:r>
        <w:t xml:space="preserve">The company is developing GaN primarily for lower-voltage and lower-power applications.</w:t>
      </w:r>
    </w:p>
    <w:p>
      <w:pPr>
        <w:pStyle w:val="Compact"/>
        <w:numPr>
          <w:ilvl w:val="0"/>
          <w:numId w:val="1004"/>
        </w:numPr>
      </w:pPr>
      <w:r>
        <w:rPr>
          <w:b/>
          <w:bCs/>
        </w:rPr>
        <w:t xml:space="preserve">DDR5 high-speed interfaces:</w:t>
      </w:r>
      <w:r>
        <w:t xml:space="preserve"> </w:t>
      </w:r>
      <w:r>
        <w:t xml:space="preserve">MPWR has sampled high-speed interface products, including RCD-related offerings, at major customers. Management explicitly indicated this should</w:t>
      </w:r>
      <w:r>
        <w:t xml:space="preserve"> </w:t>
      </w:r>
      <w:r>
        <w:rPr>
          <w:b/>
          <w:bCs/>
        </w:rPr>
        <w:t xml:space="preserve">not</w:t>
      </w:r>
      <w:r>
        <w:t xml:space="preserve"> </w:t>
      </w:r>
      <w:r>
        <w:t xml:space="preserve">be modeled as a meaningful 2026 revenue contributor.</w:t>
      </w:r>
    </w:p>
    <w:p>
      <w:pPr>
        <w:pStyle w:val="Compact"/>
        <w:numPr>
          <w:ilvl w:val="0"/>
          <w:numId w:val="1004"/>
        </w:numPr>
      </w:pPr>
      <w:r>
        <w:rPr>
          <w:b/>
          <w:bCs/>
        </w:rPr>
        <w:t xml:space="preserve">Robotics and physical AI:</w:t>
      </w:r>
      <w:r>
        <w:t xml:space="preserve"> </w:t>
      </w:r>
      <w:r>
        <w:t xml:space="preserve">MPWR sees opportunity across battery management, compute power, sensors, and actuators. Revenue can begin to contribute modestly this year, but volume remains early-stage.</w:t>
      </w:r>
    </w:p>
    <w:p>
      <w:pPr>
        <w:pStyle w:val="FirstParagraph"/>
      </w:pPr>
      <w:r>
        <w:t xml:space="preserve">These initiatives reinforce the long-term thesis—expanding from chip-only products toward higher-content power solutions—but investors should be careful not to capitalize immature revenue streams too aggressively in the near-term valuation.</w:t>
      </w:r>
    </w:p>
    <w:bookmarkEnd w:id="16"/>
    <w:bookmarkStart w:id="17" w:name="Xff5fc122d613614ea9e1bf211fa832099d488ed"/>
    <w:p>
      <w:pPr>
        <w:pStyle w:val="Heading2"/>
      </w:pPr>
      <w:r>
        <w:t xml:space="preserve">Balance sheet, inventory, and execution watchpoints</w:t>
      </w:r>
    </w:p>
    <w:p>
      <w:pPr>
        <w:pStyle w:val="FirstParagraph"/>
      </w:pPr>
      <w:r>
        <w:t xml:space="preserve">MPWR entered Q2 from a position of financial strength: at March 31 it held</w:t>
      </w:r>
      <w:r>
        <w:t xml:space="preserve"> </w:t>
      </w:r>
      <m:oMath>
        <m:r>
          <m:t>1.37</m:t>
        </m:r>
        <m:r>
          <m:t>b</m:t>
        </m:r>
        <m:r>
          <m:t>i</m:t>
        </m:r>
        <m:r>
          <m:t>l</m:t>
        </m:r>
        <m:r>
          <m:t>l</m:t>
        </m:r>
        <m:r>
          <m:t>i</m:t>
        </m:r>
        <m:r>
          <m:t>o</m:t>
        </m:r>
        <m:r>
          <m:t>n</m:t>
        </m:r>
        <m:r>
          <m:rPr>
            <m:sty m:val="p"/>
          </m:rPr>
          <m:t>*</m:t>
        </m:r>
        <m:r>
          <m:rPr>
            <m:sty m:val="p"/>
          </m:rPr>
          <m:t>*</m:t>
        </m:r>
        <m:r>
          <m:t>o</m:t>
        </m:r>
        <m:r>
          <m:t>f</m:t>
        </m:r>
        <m:r>
          <m:t>c</m:t>
        </m:r>
        <m:r>
          <m:t>a</m:t>
        </m:r>
        <m:r>
          <m:t>s</m:t>
        </m:r>
        <m:r>
          <m:t>h</m:t>
        </m:r>
        <m:r>
          <m:rPr>
            <m:sty m:val="p"/>
          </m:rPr>
          <m:t>,</m:t>
        </m:r>
        <m:r>
          <m:t>c</m:t>
        </m:r>
        <m:r>
          <m:t>a</m:t>
        </m:r>
        <m:r>
          <m:t>s</m:t>
        </m:r>
        <m:r>
          <m:t>h</m:t>
        </m:r>
        <m:r>
          <m:t>e</m:t>
        </m:r>
        <m:r>
          <m:t>q</m:t>
        </m:r>
        <m:r>
          <m:t>u</m:t>
        </m:r>
        <m:r>
          <m:t>i</m:t>
        </m:r>
        <m:r>
          <m:t>v</m:t>
        </m:r>
        <m:r>
          <m:t>a</m:t>
        </m:r>
        <m:r>
          <m:t>l</m:t>
        </m:r>
        <m:r>
          <m:t>e</m:t>
        </m:r>
        <m:r>
          <m:t>n</m:t>
        </m:r>
        <m:r>
          <m:t>t</m:t>
        </m:r>
        <m:r>
          <m:t>s</m:t>
        </m:r>
        <m:r>
          <m:rPr>
            <m:sty m:val="p"/>
          </m:rPr>
          <m:t>,</m:t>
        </m:r>
        <m:r>
          <m:t>a</m:t>
        </m:r>
        <m:r>
          <m:t>n</m:t>
        </m:r>
        <m:r>
          <m:t>d</m:t>
        </m:r>
        <m:r>
          <m:t>s</m:t>
        </m:r>
        <m:r>
          <m:t>h</m:t>
        </m:r>
        <m:r>
          <m:t>o</m:t>
        </m:r>
        <m:r>
          <m:t>r</m:t>
        </m:r>
        <m:r>
          <m:t>t</m:t>
        </m:r>
        <m:r>
          <m:rPr>
            <m:sty m:val="p"/>
          </m:rPr>
          <m:t>−</m:t>
        </m:r>
        <m:r>
          <m:t>t</m:t>
        </m:r>
        <m:r>
          <m:t>e</m:t>
        </m:r>
        <m:r>
          <m:t>r</m:t>
        </m:r>
        <m:r>
          <m:t>m</m:t>
        </m:r>
        <m:r>
          <m:t>i</m:t>
        </m:r>
        <m:r>
          <m:t>n</m:t>
        </m:r>
        <m:r>
          <m:t>v</m:t>
        </m:r>
        <m:r>
          <m:t>e</m:t>
        </m:r>
        <m:r>
          <m:t>s</m:t>
        </m:r>
        <m:r>
          <m:t>t</m:t>
        </m:r>
        <m:r>
          <m:t>m</m:t>
        </m:r>
        <m:r>
          <m:t>e</m:t>
        </m:r>
        <m:r>
          <m:t>n</m:t>
        </m:r>
        <m:r>
          <m:t>t</m:t>
        </m:r>
        <m:r>
          <m:t>s</m:t>
        </m:r>
        <m:r>
          <m:rPr>
            <m:sty m:val="p"/>
          </m:rPr>
          <m:t>,</m:t>
        </m:r>
        <m:r>
          <m:t>a</m:t>
        </m:r>
        <m:r>
          <m:t>n</m:t>
        </m:r>
        <m:r>
          <m:t>d</m:t>
        </m:r>
        <m:r>
          <m:t>g</m:t>
        </m:r>
        <m:r>
          <m:t>e</m:t>
        </m:r>
        <m:r>
          <m:t>n</m:t>
        </m:r>
        <m:r>
          <m:t>e</m:t>
        </m:r>
        <m:r>
          <m:t>r</m:t>
        </m:r>
        <m:r>
          <m:t>a</m:t>
        </m:r>
        <m:r>
          <m:t>t</m:t>
        </m:r>
        <m:r>
          <m:t>e</m:t>
        </m:r>
        <m:r>
          <m:t>d</m:t>
        </m:r>
        <m:r>
          <m:rPr>
            <m:sty m:val="p"/>
          </m:rPr>
          <m:t>*</m:t>
        </m:r>
        <m:r>
          <m:rPr>
            <m:sty m:val="p"/>
          </m:rPr>
          <m:t>*</m:t>
        </m:r>
      </m:oMath>
      <w:r>
        <w:rPr>
          <w:b/>
          <w:bCs/>
        </w:rPr>
        <w:t xml:space="preserve">250.3 million</w:t>
      </w:r>
      <w:r>
        <w:t xml:space="preserve"> </w:t>
      </w:r>
      <w:r>
        <w:t xml:space="preserve">of operating cash flow in Q1.</w:t>
      </w:r>
    </w:p>
    <w:p>
      <w:pPr>
        <w:pStyle w:val="BodyText"/>
      </w:pPr>
      <w:r>
        <w:t xml:space="preserve">Inventory is a more nuanced issue. Internal inventory rose to</w:t>
      </w:r>
      <w:r>
        <w:t xml:space="preserve"> </w:t>
      </w:r>
      <w:r>
        <w:rPr>
          <w:b/>
          <w:bCs/>
        </w:rPr>
        <w:t xml:space="preserve">$619.2 million</w:t>
      </w:r>
      <w:r>
        <w:t xml:space="preserve"> </w:t>
      </w:r>
      <w:r>
        <w:t xml:space="preserve">in Q1, or 157 days based on current-quarter revenue. On a next-quarter revenue basis, inventory days fell to 140, suggesting the company was deliberately positioning supply for growth rather than accumulating inventory against weakening demand. Still, investors should monitor:</w:t>
      </w:r>
    </w:p>
    <w:p>
      <w:pPr>
        <w:pStyle w:val="Compact"/>
        <w:numPr>
          <w:ilvl w:val="0"/>
          <w:numId w:val="1005"/>
        </w:numPr>
      </w:pPr>
      <w:r>
        <w:t xml:space="preserve">Inventory growth relative to sales;</w:t>
      </w:r>
    </w:p>
    <w:p>
      <w:pPr>
        <w:pStyle w:val="Compact"/>
        <w:numPr>
          <w:ilvl w:val="0"/>
          <w:numId w:val="1005"/>
        </w:numPr>
      </w:pPr>
      <w:r>
        <w:t xml:space="preserve">Distribution-channel inventory, which management characterized as lean;</w:t>
      </w:r>
    </w:p>
    <w:p>
      <w:pPr>
        <w:pStyle w:val="Compact"/>
        <w:numPr>
          <w:ilvl w:val="0"/>
          <w:numId w:val="1005"/>
        </w:numPr>
      </w:pPr>
      <w:r>
        <w:t xml:space="preserve">Receivables and DSO, which rose to 34 days in Q1 from 31 days in Q4;</w:t>
      </w:r>
    </w:p>
    <w:p>
      <w:pPr>
        <w:pStyle w:val="Compact"/>
        <w:numPr>
          <w:ilvl w:val="0"/>
          <w:numId w:val="1005"/>
        </w:numPr>
      </w:pPr>
      <w:r>
        <w:t xml:space="preserve">Any indication that backlog conversion or customer ordering behavior has changed.</w:t>
      </w:r>
    </w:p>
    <w:p>
      <w:pPr>
        <w:pStyle w:val="FirstParagraph"/>
      </w:pPr>
      <w:r>
        <w:t xml:space="preserve">The company also continues to remediate a previously disclosed</w:t>
      </w:r>
      <w:r>
        <w:t xml:space="preserve"> </w:t>
      </w:r>
      <w:r>
        <w:rPr>
          <w:b/>
          <w:bCs/>
        </w:rPr>
        <w:t xml:space="preserve">material weakness</w:t>
      </w:r>
      <w:r>
        <w:t xml:space="preserve"> </w:t>
      </w:r>
      <w:r>
        <w:t xml:space="preserve">related to controls over deferred-income-tax accounting. Management expects remediation by the end of fiscal 2026. This is not an operating-demand issue, but any delay or accounting revision would be an avoidable overhang.</w:t>
      </w:r>
    </w:p>
    <w:bookmarkEnd w:id="17"/>
    <w:bookmarkStart w:id="18" w:name="stock-context"/>
    <w:p>
      <w:pPr>
        <w:pStyle w:val="Heading2"/>
      </w:pPr>
      <w:r>
        <w:t xml:space="preserve">Stock context</w:t>
      </w:r>
    </w:p>
    <w:p>
      <w:pPr>
        <w:pStyle w:val="FirstParagraph"/>
      </w:pPr>
      <w:r>
        <w:t xml:space="preserve">MPWR closed at</w:t>
      </w:r>
      <w:r>
        <w:t xml:space="preserve"> </w:t>
      </w:r>
      <w:r>
        <w:rPr>
          <w:b/>
          <w:bCs/>
        </w:rPr>
        <w:t xml:space="preserve">$1,286.56 on July 29</w:t>
      </w:r>
      <w:r>
        <w:t xml:space="preserve">, down about</w:t>
      </w:r>
      <w:r>
        <w:t xml:space="preserve"> </w:t>
      </w:r>
      <w:r>
        <w:rPr>
          <w:b/>
          <w:bCs/>
        </w:rPr>
        <w:t xml:space="preserve">15.7%</w:t>
      </w:r>
      <w:r>
        <w:t xml:space="preserve"> </w:t>
      </w:r>
      <w:r>
        <w:t xml:space="preserve">since April 29, while the SOXX semiconductor ETF rose about</w:t>
      </w:r>
      <w:r>
        <w:t xml:space="preserve"> </w:t>
      </w:r>
      <w:r>
        <w:rPr>
          <w:b/>
          <w:bCs/>
        </w:rPr>
        <w:t xml:space="preserve">6.0%</w:t>
      </w:r>
      <w:r>
        <w:t xml:space="preserve"> </w:t>
      </w:r>
      <w:r>
        <w:t xml:space="preserve">over the same span. MPWR is also roughly</w:t>
      </w:r>
      <w:r>
        <w:t xml:space="preserve"> </w:t>
      </w:r>
      <w:r>
        <w:rPr>
          <w:b/>
          <w:bCs/>
        </w:rPr>
        <w:t xml:space="preserve">8% below</w:t>
      </w:r>
      <w:r>
        <w:t xml:space="preserve"> </w:t>
      </w:r>
      <w:r>
        <w:t xml:space="preserve">its July 22 close. That relative underperformance suggests the bar may be more manageable than it was immediately after Q1—but it also signals that investors want proof that elevated AI-related growth can persist into the second half.</w:t>
      </w:r>
    </w:p>
    <w:bookmarkEnd w:id="18"/>
    <w:bookmarkStart w:id="22" w:name="earnings-call-scorecard"/>
    <w:p>
      <w:pPr>
        <w:pStyle w:val="Heading2"/>
      </w:pPr>
      <w:r>
        <w:t xml:space="preserve">Earnings-call scorecard</w:t>
      </w:r>
    </w:p>
    <w:bookmarkStart w:id="19" w:name="bullish-outcome"/>
    <w:p>
      <w:pPr>
        <w:pStyle w:val="Heading3"/>
      </w:pPr>
      <w:r>
        <w:t xml:space="preserve">Bullish outcome</w:t>
      </w:r>
    </w:p>
    <w:p>
      <w:pPr>
        <w:pStyle w:val="Compact"/>
        <w:numPr>
          <w:ilvl w:val="0"/>
          <w:numId w:val="1006"/>
        </w:numPr>
      </w:pPr>
      <w:r>
        <w:t xml:space="preserve">Revenue exceeds the high end of the</w:t>
      </w:r>
      <w:r>
        <w:t xml:space="preserve"> </w:t>
      </w:r>
      <m:oMath>
        <m:r>
          <m:t>890</m:t>
        </m:r>
        <m:r>
          <m:rPr>
            <m:sty m:val="p"/>
          </m:rPr>
          <m:t>–</m:t>
        </m:r>
      </m:oMath>
      <w:r>
        <w:t xml:space="preserve">910 million guide;</w:t>
      </w:r>
    </w:p>
    <w:p>
      <w:pPr>
        <w:pStyle w:val="Compact"/>
        <w:numPr>
          <w:ilvl w:val="0"/>
          <w:numId w:val="1006"/>
        </w:numPr>
      </w:pPr>
      <w:r>
        <w:t xml:space="preserve">Enterprise Data growth outlook is maintained or raised above the 85% full-year floor;</w:t>
      </w:r>
    </w:p>
    <w:p>
      <w:pPr>
        <w:pStyle w:val="Compact"/>
        <w:numPr>
          <w:ilvl w:val="0"/>
          <w:numId w:val="1006"/>
        </w:numPr>
      </w:pPr>
      <w:r>
        <w:t xml:space="preserve">Communications remains an above-company-average grower;</w:t>
      </w:r>
    </w:p>
    <w:p>
      <w:pPr>
        <w:pStyle w:val="Compact"/>
        <w:numPr>
          <w:ilvl w:val="0"/>
          <w:numId w:val="1006"/>
        </w:numPr>
      </w:pPr>
      <w:r>
        <w:t xml:space="preserve">Q3 revenue guidance implies continued double-digit sequential or strong year-over-year growth;</w:t>
      </w:r>
    </w:p>
    <w:p>
      <w:pPr>
        <w:pStyle w:val="Compact"/>
        <w:numPr>
          <w:ilvl w:val="0"/>
          <w:numId w:val="1006"/>
        </w:numPr>
      </w:pPr>
      <w:r>
        <w:t xml:space="preserve">Non-GAAP gross-margin outlook remains around the mid-55% range;</w:t>
      </w:r>
    </w:p>
    <w:p>
      <w:pPr>
        <w:pStyle w:val="Compact"/>
        <w:numPr>
          <w:ilvl w:val="0"/>
          <w:numId w:val="1006"/>
        </w:numPr>
      </w:pPr>
      <w:r>
        <w:t xml:space="preserve">Automotive second-half ramp remains intact or improves.</w:t>
      </w:r>
    </w:p>
    <w:bookmarkEnd w:id="19"/>
    <w:bookmarkStart w:id="20" w:name="neutral-outcome"/>
    <w:p>
      <w:pPr>
        <w:pStyle w:val="Heading3"/>
      </w:pPr>
      <w:r>
        <w:t xml:space="preserve">Neutral outcome</w:t>
      </w:r>
    </w:p>
    <w:p>
      <w:pPr>
        <w:pStyle w:val="Compact"/>
        <w:numPr>
          <w:ilvl w:val="0"/>
          <w:numId w:val="1007"/>
        </w:numPr>
      </w:pPr>
      <w:r>
        <w:t xml:space="preserve">Q2 lands around the midpoint of guide;</w:t>
      </w:r>
    </w:p>
    <w:p>
      <w:pPr>
        <w:pStyle w:val="Compact"/>
        <w:numPr>
          <w:ilvl w:val="0"/>
          <w:numId w:val="1007"/>
        </w:numPr>
      </w:pPr>
      <w:r>
        <w:t xml:space="preserve">Enterprise Data and Communications remain strong, but management retains a cautious second-half margin or macro posture;</w:t>
      </w:r>
    </w:p>
    <w:p>
      <w:pPr>
        <w:pStyle w:val="Compact"/>
        <w:numPr>
          <w:ilvl w:val="0"/>
          <w:numId w:val="1007"/>
        </w:numPr>
      </w:pPr>
      <w:r>
        <w:t xml:space="preserve">Storage strength offsets notebook weakness;</w:t>
      </w:r>
    </w:p>
    <w:p>
      <w:pPr>
        <w:pStyle w:val="Compact"/>
        <w:numPr>
          <w:ilvl w:val="0"/>
          <w:numId w:val="1007"/>
        </w:numPr>
      </w:pPr>
      <w:r>
        <w:t xml:space="preserve">Q3 guide reflects normalizing sequential growth.</w:t>
      </w:r>
    </w:p>
    <w:bookmarkEnd w:id="20"/>
    <w:bookmarkStart w:id="21" w:name="bearish-outcome"/>
    <w:p>
      <w:pPr>
        <w:pStyle w:val="Heading3"/>
      </w:pPr>
      <w:r>
        <w:t xml:space="preserve">Bearish outcome</w:t>
      </w:r>
    </w:p>
    <w:p>
      <w:pPr>
        <w:pStyle w:val="Compact"/>
        <w:numPr>
          <w:ilvl w:val="0"/>
          <w:numId w:val="1008"/>
        </w:numPr>
      </w:pPr>
      <w:r>
        <w:t xml:space="preserve">Revenue lands near/below the low end of guide, particularly due to Enterprise Data or Communications;</w:t>
      </w:r>
    </w:p>
    <w:p>
      <w:pPr>
        <w:pStyle w:val="Compact"/>
        <w:numPr>
          <w:ilvl w:val="0"/>
          <w:numId w:val="1008"/>
        </w:numPr>
      </w:pPr>
      <w:r>
        <w:t xml:space="preserve">Management reduces the 85% Enterprise Data growth floor;</w:t>
      </w:r>
    </w:p>
    <w:p>
      <w:pPr>
        <w:pStyle w:val="Compact"/>
        <w:numPr>
          <w:ilvl w:val="0"/>
          <w:numId w:val="1008"/>
        </w:numPr>
      </w:pPr>
      <w:r>
        <w:t xml:space="preserve">Gross-margin guidance moves materially below the mid-55% range;</w:t>
      </w:r>
    </w:p>
    <w:p>
      <w:pPr>
        <w:pStyle w:val="Compact"/>
        <w:numPr>
          <w:ilvl w:val="0"/>
          <w:numId w:val="1008"/>
        </w:numPr>
      </w:pPr>
      <w:r>
        <w:t xml:space="preserve">Inventory rises faster than sales or order visibility weakens;</w:t>
      </w:r>
    </w:p>
    <w:p>
      <w:pPr>
        <w:pStyle w:val="Compact"/>
        <w:numPr>
          <w:ilvl w:val="0"/>
          <w:numId w:val="1008"/>
        </w:numPr>
      </w:pPr>
      <w:r>
        <w:t xml:space="preserve">Automotive ramp timing slips again, leaving the company more dependent on AI infrastructure.</w:t>
      </w:r>
    </w:p>
    <w:bookmarkEnd w:id="21"/>
    <w:bookmarkEnd w:id="22"/>
    <w:bookmarkStart w:id="23" w:name="takeaway"/>
    <w:p>
      <w:pPr>
        <w:pStyle w:val="Heading2"/>
      </w:pPr>
      <w:r>
        <w:t xml:space="preserve">Takeaway</w:t>
      </w:r>
    </w:p>
    <w:p>
      <w:pPr>
        <w:pStyle w:val="FirstParagraph"/>
      </w:pPr>
      <w:r>
        <w:t xml:space="preserve">MPWR’s Q2 report should demonstrate very strong reported growth almost by construction; the company’s own guidance already calls for roughly</w:t>
      </w:r>
      <w:r>
        <w:t xml:space="preserve"> </w:t>
      </w:r>
      <w:r>
        <w:rPr>
          <w:b/>
          <w:bCs/>
        </w:rPr>
        <w:t xml:space="preserve">34%–37% year-over-year</w:t>
      </w:r>
      <w:r>
        <w:t xml:space="preserve"> </w:t>
      </w:r>
      <w:r>
        <w:t xml:space="preserve">revenue growth. The real debate is whether Q2 establishes a sustainable earnings-power step-up.</w:t>
      </w:r>
    </w:p>
    <w:p>
      <w:pPr>
        <w:pStyle w:val="BodyText"/>
      </w:pPr>
      <w:r>
        <w:t xml:space="preserve">For investors, the most valuable evidence would be:</w:t>
      </w:r>
      <w:r>
        <w:t xml:space="preserve"> </w:t>
      </w:r>
      <w:r>
        <w:rPr>
          <w:b/>
          <w:bCs/>
        </w:rPr>
        <w:t xml:space="preserve">continued Enterprise Data momentum, Communications upside, stable mid-55% gross margins, and a Q3 outlook that validates demand beyond the current quarter.</w:t>
      </w:r>
      <w:r>
        <w:t xml:space="preserve"> </w:t>
      </w:r>
      <w:r>
        <w:t xml:space="preserve">If those elements line up, the report would reinforce the case that MPWR is gaining durable share in increasingly power-intensive AI and networking architectures.</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2026-07-29T19:28:53Z</dcterms:created>
  <dcterms:modified xsi:type="dcterms:W3CDTF">2026-07-29T19:28:53Z</dcterms:modified>
</cp:coreProperties>
</file>

<file path=docProps/custom.xml><?xml version="1.0" encoding="utf-8"?>
<Properties xmlns="http://schemas.openxmlformats.org/officeDocument/2006/custom-properties" xmlns:vt="http://schemas.openxmlformats.org/officeDocument/2006/docPropsVTypes"/>
</file>