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Monolithic Power Systems (MPWR) — Q2 2026 Earnings Preview</w:t>
      </w:r>
    </w:p>
    <w:p>
      <w:r>
        <w:rPr>
          <w:rFonts w:ascii="Calibri" w:hAnsi="Calibri"/>
          <w:b/>
          <w:color w:val="525866"/>
          <w:sz w:val="22"/>
        </w:rPr>
        <w:t xml:space="preserve">Ticker: </w:t>
      </w:r>
      <w:r>
        <w:rPr>
          <w:rFonts w:ascii="Calibri" w:hAnsi="Calibri"/>
          <w:color w:val="525866"/>
          <w:sz w:val="22"/>
        </w:rPr>
        <w:t xml:space="preserve">MPWR  </w:t>
      </w:r>
      <w:r>
        <w:rPr>
          <w:rFonts w:ascii="Calibri" w:hAnsi="Calibri"/>
          <w:b/>
          <w:color w:val="525866"/>
          <w:sz w:val="22"/>
        </w:rPr>
        <w:t xml:space="preserve">Earnings Date: </w:t>
      </w:r>
      <w:r>
        <w:rPr>
          <w:rFonts w:ascii="Calibri" w:hAnsi="Calibri"/>
          <w:color w:val="525866"/>
          <w:sz w:val="22"/>
        </w:rPr>
        <w:t xml:space="preserve">July 30, 2026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July 29,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Setup leans toward a beat — </w:t>
      </w:r>
      <w:r>
        <w:rPr>
          <w:rFonts w:ascii="Calibri" w:hAnsi="Calibri"/>
          <w:b/>
          <w:color w:val="525866"/>
          <w:sz w:val="22"/>
        </w:rPr>
        <w:t>Enterprise Data revenue</w:t>
      </w:r>
      <w:r>
        <w:rPr>
          <w:rFonts w:ascii="Calibri" w:hAnsi="Calibri"/>
          <w:color w:val="525866"/>
          <w:sz w:val="22"/>
        </w:rPr>
        <w:t xml:space="preserve"> is the single biggest swing factor, with consensus at ~$319M implying ~122% YoY growth against management's raised floor of ~85% YoY, and strong ordering patterns extending through year-end providing real backlog visibility.</w:t>
      </w:r>
    </w:p>
    <w:p>
      <w:r>
        <w:rPr>
          <w:rFonts w:ascii="Calibri" w:hAnsi="Calibri"/>
          <w:color w:val="525866"/>
          <w:sz w:val="22"/>
        </w:rPr>
        <w:t xml:space="preserve">Heading into Q2 2026, the bar for MPWR is high but arguably still beatable: consensus revenue of </w:t>
      </w:r>
      <w:r>
        <w:rPr>
          <w:rFonts w:ascii="Calibri" w:hAnsi="Calibri"/>
          <w:b/>
          <w:color w:val="525866"/>
          <w:sz w:val="22"/>
        </w:rPr>
        <w:t>~$903M (+36% YoY)</w:t>
      </w:r>
      <w:r>
        <w:rPr>
          <w:rFonts w:ascii="Calibri" w:hAnsi="Calibri"/>
          <w:color w:val="525866"/>
          <w:sz w:val="22"/>
        </w:rPr>
        <w:t xml:space="preserve"> sits above the $890–$910M guidance midpoint, while non-GAAP EPS of </w:t>
      </w:r>
      <w:r>
        <w:rPr>
          <w:rFonts w:ascii="Calibri" w:hAnsi="Calibri"/>
          <w:b/>
          <w:color w:val="525866"/>
          <w:sz w:val="22"/>
        </w:rPr>
        <w:t>~$5.87 (+39.7% YoY)</w:t>
      </w:r>
      <w:r>
        <w:rPr>
          <w:rFonts w:ascii="Calibri" w:hAnsi="Calibri"/>
          <w:color w:val="525866"/>
          <w:sz w:val="22"/>
        </w:rPr>
        <w:t xml:space="preserve"> reflects a meaningful step-up from Q1's $5.10 beat. Management's posture on the April 30 call was notably confident — the Enterprise Data 2026 growth floor was raised a second consecutive time (from ~50% to ~85% YoY), and Communications was called out as a faster-than-corporate-average grower for Q2, both signals that the demand environment has not deteriorated. Estimate revisions have been essentially stable since the Q1 print (EPS consensus down only ~0.2% over 30 days), suggesting the Street has largely digested the guidance raise without adding incremental cushion. The stock, however, has been a significant underperformer since last earnings — </w:t>
      </w:r>
      <w:r>
        <w:rPr>
          <w:rFonts w:ascii="Calibri" w:hAnsi="Calibri"/>
          <w:b/>
          <w:color w:val="525866"/>
          <w:sz w:val="22"/>
        </w:rPr>
        <w:t>down ~22.6% vs. SOXX flat and SPY +1.5%</w:t>
      </w:r>
      <w:r>
        <w:rPr>
          <w:rFonts w:ascii="Calibri" w:hAnsi="Calibri"/>
          <w:color w:val="525866"/>
          <w:sz w:val="22"/>
        </w:rPr>
        <w:t xml:space="preserve"> — meaning the multiple has compressed sharply and the stock is no longer pricing in perfection. The key wildcard is </w:t>
      </w:r>
      <w:r>
        <w:rPr>
          <w:rFonts w:ascii="Calibri" w:hAnsi="Calibri"/>
          <w:b/>
          <w:color w:val="525866"/>
          <w:sz w:val="22"/>
        </w:rPr>
        <w:t>gross margin trajectory</w:t>
      </w:r>
      <w:r>
        <w:rPr>
          <w:rFonts w:ascii="Calibri" w:hAnsi="Calibri"/>
          <w:color w:val="525866"/>
          <w:sz w:val="22"/>
        </w:rPr>
        <w:t>: management guided for incremental improvement in Q2 but flagged potential second-half headwinds, and any commentary suggesting the margin recovery is being pushed out further could weigh on the stock even on a revenue beat.</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on revenue but the stock's sharp de-rating since April 30 means the market is not pricing in a clean beat. </w:t>
      </w:r>
      <w:r>
        <w:rPr>
          <w:rFonts w:ascii="Calibri" w:hAnsi="Calibri"/>
          <w:b/>
          <w:color w:val="525866"/>
          <w:sz w:val="22"/>
        </w:rPr>
        <w:t>Enterprise Data revenue (~$319M consensus, +122% YoY)</w:t>
      </w:r>
      <w:r>
        <w:rPr>
          <w:rFonts w:ascii="Calibri" w:hAnsi="Calibri"/>
          <w:color w:val="525866"/>
          <w:sz w:val="22"/>
        </w:rPr>
        <w:t xml:space="preserve"> is the dominant swing factor; gross margin (consensus ~55.6%) is the secondary debate given management's cautious H2 commentary.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$804.2M</w:t>
            </w:r>
          </w:p>
        </w:tc>
        <w:tc>
          <w:tcPr>
            <w:tcW w:type="dxa" w:w="1234"/>
          </w:tcPr>
          <w:p>
            <w:r>
              <w:rPr>
                <w:rFonts w:ascii="Calibri" w:hAnsi="Calibri"/>
                <w:sz w:val="22"/>
              </w:rPr>
              <w:t>$664.6M</w:t>
            </w:r>
          </w:p>
        </w:tc>
        <w:tc>
          <w:tcPr>
            <w:tcW w:type="dxa" w:w="1234"/>
          </w:tcPr>
          <w:p>
            <w:r>
              <w:rPr>
                <w:rFonts w:ascii="Calibri" w:hAnsi="Calibri"/>
                <w:sz w:val="22"/>
              </w:rPr>
              <w:t>$903.3M</w:t>
            </w:r>
          </w:p>
        </w:tc>
        <w:tc>
          <w:tcPr>
            <w:tcW w:type="dxa" w:w="1234"/>
          </w:tcPr>
          <w:p>
            <w:r>
              <w:rPr>
                <w:rFonts w:ascii="Calibri" w:hAnsi="Calibri"/>
                <w:sz w:val="22"/>
              </w:rPr>
              <w:t>+35.9%</w:t>
            </w:r>
          </w:p>
        </w:tc>
        <w:tc>
          <w:tcPr>
            <w:tcW w:type="dxa" w:w="1234"/>
          </w:tcPr>
          <w:p>
            <w:r>
              <w:rPr>
                <w:rFonts w:ascii="Calibri" w:hAnsi="Calibri"/>
                <w:sz w:val="22"/>
              </w:rPr>
              <w:t>$890–$910M</w:t>
            </w:r>
          </w:p>
        </w:tc>
        <w:tc>
          <w:tcPr>
            <w:tcW w:type="dxa" w:w="1234"/>
          </w:tcPr>
          <w:p>
            <w:r>
              <w:rPr>
                <w:rFonts w:ascii="Calibri" w:hAnsi="Calibri"/>
                <w:sz w:val="22"/>
              </w:rPr>
              <w:t>+0.4% vs. midpoint</w:t>
            </w:r>
          </w:p>
        </w:tc>
      </w:tr>
      <w:tr>
        <w:tc>
          <w:tcPr>
            <w:tcW w:type="dxa" w:w="1234"/>
          </w:tcPr>
          <w:p>
            <w:r>
              <w:rPr>
                <w:rFonts w:ascii="Calibri" w:hAnsi="Calibri"/>
                <w:sz w:val="22"/>
              </w:rPr>
              <w:t>Non-GAAP Gross Profit ($M)</w:t>
            </w:r>
          </w:p>
        </w:tc>
        <w:tc>
          <w:tcPr>
            <w:tcW w:type="dxa" w:w="1234"/>
          </w:tcPr>
          <w:p>
            <w:r>
              <w:rPr>
                <w:rFonts w:ascii="Calibri" w:hAnsi="Calibri"/>
                <w:sz w:val="22"/>
              </w:rPr>
              <w:t>$446.4M</w:t>
            </w:r>
          </w:p>
        </w:tc>
        <w:tc>
          <w:tcPr>
            <w:tcW w:type="dxa" w:w="1234"/>
          </w:tcPr>
          <w:p>
            <w:r>
              <w:rPr>
                <w:rFonts w:ascii="Calibri" w:hAnsi="Calibri"/>
                <w:sz w:val="22"/>
              </w:rPr>
              <w:t>$368.8M</w:t>
            </w:r>
          </w:p>
        </w:tc>
        <w:tc>
          <w:tcPr>
            <w:tcW w:type="dxa" w:w="1234"/>
          </w:tcPr>
          <w:p>
            <w:r>
              <w:rPr>
                <w:rFonts w:ascii="Calibri" w:hAnsi="Calibri"/>
                <w:sz w:val="22"/>
              </w:rPr>
              <w:t>$502.0M</w:t>
            </w:r>
          </w:p>
        </w:tc>
        <w:tc>
          <w:tcPr>
            <w:tcW w:type="dxa" w:w="1234"/>
          </w:tcPr>
          <w:p>
            <w:r>
              <w:rPr>
                <w:rFonts w:ascii="Calibri" w:hAnsi="Calibri"/>
                <w:sz w:val="22"/>
              </w:rPr>
              <w:t>+36.1%</w:t>
            </w:r>
          </w:p>
        </w:tc>
        <w:tc>
          <w:tcPr>
            <w:tcW w:type="dxa" w:w="1234"/>
          </w:tcPr>
          <w:p>
            <w:r>
              <w:rPr>
                <w:rFonts w:ascii="Calibri" w:hAnsi="Calibri"/>
                <w:sz w:val="22"/>
              </w:rPr>
              <w:t>Incremental improvement from 55.5%</w:t>
            </w:r>
          </w:p>
        </w:tc>
        <w:tc>
          <w:tcPr>
            <w:tcW w:type="dxa" w:w="1234"/>
          </w:tcPr>
          <w:p>
            <w:r>
              <w:rPr>
                <w:rFonts w:ascii="Calibri" w:hAnsi="Calibri"/>
                <w:sz w:val="22"/>
              </w:rPr>
              <w:t>~55.6% implied margin</w:t>
            </w:r>
          </w:p>
        </w:tc>
      </w:tr>
      <w:tr>
        <w:tc>
          <w:tcPr>
            <w:tcW w:type="dxa" w:w="1234"/>
          </w:tcPr>
          <w:p>
            <w:r>
              <w:rPr>
                <w:rFonts w:ascii="Calibri" w:hAnsi="Calibri"/>
                <w:sz w:val="22"/>
              </w:rPr>
              <w:t>Non-GAAP EPS (Diluted)</w:t>
            </w:r>
          </w:p>
        </w:tc>
        <w:tc>
          <w:tcPr>
            <w:tcW w:type="dxa" w:w="1234"/>
          </w:tcPr>
          <w:p>
            <w:r>
              <w:rPr>
                <w:rFonts w:ascii="Calibri" w:hAnsi="Calibri"/>
                <w:sz w:val="22"/>
              </w:rPr>
              <w:t>$5.10</w:t>
            </w:r>
          </w:p>
        </w:tc>
        <w:tc>
          <w:tcPr>
            <w:tcW w:type="dxa" w:w="1234"/>
          </w:tcPr>
          <w:p>
            <w:r>
              <w:rPr>
                <w:rFonts w:ascii="Calibri" w:hAnsi="Calibri"/>
                <w:sz w:val="22"/>
              </w:rPr>
              <w:t>$4.21</w:t>
            </w:r>
          </w:p>
        </w:tc>
        <w:tc>
          <w:tcPr>
            <w:tcW w:type="dxa" w:w="1234"/>
          </w:tcPr>
          <w:p>
            <w:r>
              <w:rPr>
                <w:rFonts w:ascii="Calibri" w:hAnsi="Calibri"/>
                <w:sz w:val="22"/>
              </w:rPr>
              <w:t>$5.87</w:t>
            </w:r>
          </w:p>
        </w:tc>
        <w:tc>
          <w:tcPr>
            <w:tcW w:type="dxa" w:w="1234"/>
          </w:tcPr>
          <w:p>
            <w:r>
              <w:rPr>
                <w:rFonts w:ascii="Calibri" w:hAnsi="Calibri"/>
                <w:sz w:val="22"/>
              </w:rPr>
              <w:t>+39.4%</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Enterprise Data Revenue ($M)</w:t>
            </w:r>
          </w:p>
        </w:tc>
        <w:tc>
          <w:tcPr>
            <w:tcW w:type="dxa" w:w="1234"/>
          </w:tcPr>
          <w:p>
            <w:r>
              <w:rPr>
                <w:rFonts w:ascii="Calibri" w:hAnsi="Calibri"/>
                <w:sz w:val="22"/>
              </w:rPr>
              <w:t>$262.8M</w:t>
            </w:r>
          </w:p>
        </w:tc>
        <w:tc>
          <w:tcPr>
            <w:tcW w:type="dxa" w:w="1234"/>
          </w:tcPr>
          <w:p>
            <w:r>
              <w:rPr>
                <w:rFonts w:ascii="Calibri" w:hAnsi="Calibri"/>
                <w:sz w:val="22"/>
              </w:rPr>
              <w:t>$144.0M</w:t>
            </w:r>
          </w:p>
        </w:tc>
        <w:tc>
          <w:tcPr>
            <w:tcW w:type="dxa" w:w="1234"/>
          </w:tcPr>
          <w:p>
            <w:r>
              <w:rPr>
                <w:rFonts w:ascii="Calibri" w:hAnsi="Calibri"/>
                <w:sz w:val="22"/>
              </w:rPr>
              <w:t>$319.4M</w:t>
            </w:r>
          </w:p>
        </w:tc>
        <w:tc>
          <w:tcPr>
            <w:tcW w:type="dxa" w:w="1234"/>
          </w:tcPr>
          <w:p>
            <w:r>
              <w:rPr>
                <w:rFonts w:ascii="Calibri" w:hAnsi="Calibri"/>
                <w:sz w:val="22"/>
              </w:rPr>
              <w:t>+121.8%</w:t>
            </w:r>
          </w:p>
        </w:tc>
        <w:tc>
          <w:tcPr>
            <w:tcW w:type="dxa" w:w="1234"/>
          </w:tcPr>
          <w:p>
            <w:r>
              <w:rPr>
                <w:rFonts w:ascii="Calibri" w:hAnsi="Calibri"/>
                <w:sz w:val="22"/>
              </w:rPr>
              <w:t>~85% YoY growth floor (FY)</w:t>
            </w:r>
          </w:p>
        </w:tc>
        <w:tc>
          <w:tcPr>
            <w:tcW w:type="dxa" w:w="1234"/>
          </w:tcPr>
          <w:p>
            <w:r>
              <w:rPr>
                <w:rFonts w:ascii="Calibri" w:hAnsi="Calibri"/>
                <w:sz w:val="22"/>
              </w:rPr>
              <w:t>N/A (FY floor, not Q guidance)</w:t>
            </w:r>
          </w:p>
        </w:tc>
      </w:tr>
      <w:tr>
        <w:tc>
          <w:tcPr>
            <w:tcW w:type="dxa" w:w="1234"/>
          </w:tcPr>
          <w:p>
            <w:r>
              <w:rPr>
                <w:rFonts w:ascii="Calibri" w:hAnsi="Calibri"/>
                <w:sz w:val="22"/>
              </w:rPr>
              <w:t>Automotive Revenue ($M)</w:t>
            </w:r>
          </w:p>
        </w:tc>
        <w:tc>
          <w:tcPr>
            <w:tcW w:type="dxa" w:w="1234"/>
          </w:tcPr>
          <w:p>
            <w:r>
              <w:rPr>
                <w:rFonts w:ascii="Calibri" w:hAnsi="Calibri"/>
                <w:sz w:val="22"/>
              </w:rPr>
              <w:t>$152.4M</w:t>
            </w:r>
          </w:p>
        </w:tc>
        <w:tc>
          <w:tcPr>
            <w:tcW w:type="dxa" w:w="1234"/>
          </w:tcPr>
          <w:p>
            <w:r>
              <w:rPr>
                <w:rFonts w:ascii="Calibri" w:hAnsi="Calibri"/>
                <w:sz w:val="22"/>
              </w:rPr>
              <w:t>$145.1M</w:t>
            </w:r>
          </w:p>
        </w:tc>
        <w:tc>
          <w:tcPr>
            <w:tcW w:type="dxa" w:w="1234"/>
          </w:tcPr>
          <w:p>
            <w:r>
              <w:rPr>
                <w:rFonts w:ascii="Calibri" w:hAnsi="Calibri"/>
                <w:sz w:val="22"/>
              </w:rPr>
              <w:t>$155.9M</w:t>
            </w:r>
          </w:p>
        </w:tc>
        <w:tc>
          <w:tcPr>
            <w:tcW w:type="dxa" w:w="1234"/>
          </w:tcPr>
          <w:p>
            <w:r>
              <w:rPr>
                <w:rFonts w:ascii="Calibri" w:hAnsi="Calibri"/>
                <w:sz w:val="22"/>
              </w:rPr>
              <w:t>+7.4%</w:t>
            </w:r>
          </w:p>
        </w:tc>
        <w:tc>
          <w:tcPr>
            <w:tcW w:type="dxa" w:w="1234"/>
          </w:tcPr>
          <w:p>
            <w:r>
              <w:rPr>
                <w:rFonts w:ascii="Calibri" w:hAnsi="Calibri"/>
                <w:sz w:val="22"/>
              </w:rPr>
              <w:t>Roughly flat H1, ramp H2</w:t>
            </w:r>
          </w:p>
        </w:tc>
        <w:tc>
          <w:tcPr>
            <w:tcW w:type="dxa" w:w="1234"/>
          </w:tcPr>
          <w:p>
            <w:r>
              <w:rPr>
                <w:rFonts w:ascii="Calibri" w:hAnsi="Calibri"/>
                <w:sz w:val="22"/>
              </w:rPr>
              <w:t>In-line with guidance tone</w:t>
            </w:r>
          </w:p>
        </w:tc>
      </w:tr>
      <w:tr>
        <w:tc>
          <w:tcPr>
            <w:tcW w:type="dxa" w:w="1234"/>
          </w:tcPr>
          <w:p>
            <w:r>
              <w:rPr>
                <w:rFonts w:ascii="Calibri" w:hAnsi="Calibri"/>
                <w:sz w:val="22"/>
              </w:rPr>
              <w:t>Communications Revenue ($M)</w:t>
            </w:r>
          </w:p>
        </w:tc>
        <w:tc>
          <w:tcPr>
            <w:tcW w:type="dxa" w:w="1234"/>
          </w:tcPr>
          <w:p>
            <w:r>
              <w:rPr>
                <w:rFonts w:ascii="Calibri" w:hAnsi="Calibri"/>
                <w:sz w:val="22"/>
              </w:rPr>
              <w:t>$111.5M</w:t>
            </w:r>
          </w:p>
        </w:tc>
        <w:tc>
          <w:tcPr>
            <w:tcW w:type="dxa" w:w="1234"/>
          </w:tcPr>
          <w:p>
            <w:r>
              <w:rPr>
                <w:rFonts w:ascii="Calibri" w:hAnsi="Calibri"/>
                <w:sz w:val="22"/>
              </w:rPr>
              <w:t>$73.8M</w:t>
            </w:r>
          </w:p>
        </w:tc>
        <w:tc>
          <w:tcPr>
            <w:tcW w:type="dxa" w:w="1234"/>
          </w:tcPr>
          <w:p>
            <w:r>
              <w:rPr>
                <w:rFonts w:ascii="Calibri" w:hAnsi="Calibri"/>
                <w:sz w:val="22"/>
              </w:rPr>
              <w:t>$133.0M</w:t>
            </w:r>
          </w:p>
        </w:tc>
        <w:tc>
          <w:tcPr>
            <w:tcW w:type="dxa" w:w="1234"/>
          </w:tcPr>
          <w:p>
            <w:r>
              <w:rPr>
                <w:rFonts w:ascii="Calibri" w:hAnsi="Calibri"/>
                <w:sz w:val="22"/>
              </w:rPr>
              <w:t>+80.2%</w:t>
            </w:r>
          </w:p>
        </w:tc>
        <w:tc>
          <w:tcPr>
            <w:tcW w:type="dxa" w:w="1234"/>
          </w:tcPr>
          <w:p>
            <w:r>
              <w:rPr>
                <w:rFonts w:ascii="Calibri" w:hAnsi="Calibri"/>
                <w:sz w:val="22"/>
              </w:rPr>
              <w:t>One of faster-growing segments in Q2</w:t>
            </w:r>
          </w:p>
        </w:tc>
        <w:tc>
          <w:tcPr>
            <w:tcW w:type="dxa" w:w="1234"/>
          </w:tcPr>
          <w:p>
            <w:r>
              <w:rPr>
                <w:rFonts w:ascii="Calibri" w:hAnsi="Calibri"/>
                <w:sz w:val="22"/>
              </w:rPr>
              <w:t>Above corporate average</w:t>
            </w:r>
          </w:p>
        </w:tc>
      </w:tr>
      <w:tr>
        <w:tc>
          <w:tcPr>
            <w:tcW w:type="dxa" w:w="1234"/>
          </w:tcPr>
          <w:p>
            <w:r>
              <w:rPr>
                <w:rFonts w:ascii="Calibri" w:hAnsi="Calibri"/>
                <w:sz w:val="22"/>
              </w:rPr>
              <w:t>Storage &amp; Computing Revenue ($M)</w:t>
            </w:r>
          </w:p>
        </w:tc>
        <w:tc>
          <w:tcPr>
            <w:tcW w:type="dxa" w:w="1234"/>
          </w:tcPr>
          <w:p>
            <w:r>
              <w:rPr>
                <w:rFonts w:ascii="Calibri" w:hAnsi="Calibri"/>
                <w:sz w:val="22"/>
              </w:rPr>
              <w:t>$174.4M</w:t>
            </w:r>
          </w:p>
        </w:tc>
        <w:tc>
          <w:tcPr>
            <w:tcW w:type="dxa" w:w="1234"/>
          </w:tcPr>
          <w:p>
            <w:r>
              <w:rPr>
                <w:rFonts w:ascii="Calibri" w:hAnsi="Calibri"/>
                <w:sz w:val="22"/>
              </w:rPr>
              <w:t>$195.3M</w:t>
            </w:r>
          </w:p>
        </w:tc>
        <w:tc>
          <w:tcPr>
            <w:tcW w:type="dxa" w:w="1234"/>
          </w:tcPr>
          <w:p>
            <w:r>
              <w:rPr>
                <w:rFonts w:ascii="Calibri" w:hAnsi="Calibri"/>
                <w:sz w:val="22"/>
              </w:rPr>
              <w:t>$186.4M</w:t>
            </w:r>
          </w:p>
        </w:tc>
        <w:tc>
          <w:tcPr>
            <w:tcW w:type="dxa" w:w="1234"/>
          </w:tcPr>
          <w:p>
            <w:r>
              <w:rPr>
                <w:rFonts w:ascii="Calibri" w:hAnsi="Calibri"/>
                <w:sz w:val="22"/>
              </w:rPr>
              <w:t>-4.6%</w:t>
            </w:r>
          </w:p>
        </w:tc>
        <w:tc>
          <w:tcPr>
            <w:tcW w:type="dxa" w:w="1234"/>
          </w:tcPr>
          <w:p>
            <w:r>
              <w:rPr>
                <w:rFonts w:ascii="Calibri" w:hAnsi="Calibri"/>
                <w:sz w:val="22"/>
              </w:rPr>
              <w:t>Cautious on notebook; storage strong</w:t>
            </w:r>
          </w:p>
        </w:tc>
        <w:tc>
          <w:tcPr>
            <w:tcW w:type="dxa" w:w="1234"/>
          </w:tcPr>
          <w:p>
            <w:r>
              <w:rPr>
                <w:rFonts w:ascii="Calibri" w:hAnsi="Calibri"/>
                <w:sz w:val="22"/>
              </w:rPr>
              <w:t>N/A</w:t>
            </w:r>
          </w:p>
        </w:tc>
      </w:tr>
      <w:tr>
        <w:tc>
          <w:tcPr>
            <w:tcW w:type="dxa" w:w="1234"/>
          </w:tcPr>
          <w:p>
            <w:r>
              <w:rPr>
                <w:rFonts w:ascii="Calibri" w:hAnsi="Calibri"/>
                <w:sz w:val="22"/>
              </w:rPr>
              <w:t>Industrial Revenue ($M)</w:t>
            </w:r>
          </w:p>
        </w:tc>
        <w:tc>
          <w:tcPr>
            <w:tcW w:type="dxa" w:w="1234"/>
          </w:tcPr>
          <w:p>
            <w:r>
              <w:rPr>
                <w:rFonts w:ascii="Calibri" w:hAnsi="Calibri"/>
                <w:sz w:val="22"/>
              </w:rPr>
              <w:t>$48.6M</w:t>
            </w:r>
          </w:p>
        </w:tc>
        <w:tc>
          <w:tcPr>
            <w:tcW w:type="dxa" w:w="1234"/>
          </w:tcPr>
          <w:p>
            <w:r>
              <w:rPr>
                <w:rFonts w:ascii="Calibri" w:hAnsi="Calibri"/>
                <w:sz w:val="22"/>
              </w:rPr>
              <w:t>$46.7M</w:t>
            </w:r>
          </w:p>
        </w:tc>
        <w:tc>
          <w:tcPr>
            <w:tcW w:type="dxa" w:w="1234"/>
          </w:tcPr>
          <w:p>
            <w:r>
              <w:rPr>
                <w:rFonts w:ascii="Calibri" w:hAnsi="Calibri"/>
                <w:sz w:val="22"/>
              </w:rPr>
              <w:t>$51.5M</w:t>
            </w:r>
          </w:p>
        </w:tc>
        <w:tc>
          <w:tcPr>
            <w:tcW w:type="dxa" w:w="1234"/>
          </w:tcPr>
          <w:p>
            <w:r>
              <w:rPr>
                <w:rFonts w:ascii="Calibri" w:hAnsi="Calibri"/>
                <w:sz w:val="22"/>
              </w:rPr>
              <w:t>+10.3%</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Consumer Revenue ($M)</w:t>
            </w:r>
          </w:p>
        </w:tc>
        <w:tc>
          <w:tcPr>
            <w:tcW w:type="dxa" w:w="1234"/>
          </w:tcPr>
          <w:p>
            <w:r>
              <w:rPr>
                <w:rFonts w:ascii="Calibri" w:hAnsi="Calibri"/>
                <w:sz w:val="22"/>
              </w:rPr>
              <w:t>$54.5M</w:t>
            </w:r>
          </w:p>
        </w:tc>
        <w:tc>
          <w:tcPr>
            <w:tcW w:type="dxa" w:w="1234"/>
          </w:tcPr>
          <w:p>
            <w:r>
              <w:rPr>
                <w:rFonts w:ascii="Calibri" w:hAnsi="Calibri"/>
                <w:sz w:val="22"/>
              </w:rPr>
              <w:t>$59.7M</w:t>
            </w:r>
          </w:p>
        </w:tc>
        <w:tc>
          <w:tcPr>
            <w:tcW w:type="dxa" w:w="1234"/>
          </w:tcPr>
          <w:p>
            <w:r>
              <w:rPr>
                <w:rFonts w:ascii="Calibri" w:hAnsi="Calibri"/>
                <w:sz w:val="22"/>
              </w:rPr>
              <w:t>$57.6M</w:t>
            </w:r>
          </w:p>
        </w:tc>
        <w:tc>
          <w:tcPr>
            <w:tcW w:type="dxa" w:w="1234"/>
          </w:tcPr>
          <w:p>
            <w:r>
              <w:rPr>
                <w:rFonts w:ascii="Calibri" w:hAnsi="Calibri"/>
                <w:sz w:val="22"/>
              </w:rPr>
              <w:t>-3.5%</w:t>
            </w:r>
          </w:p>
        </w:tc>
        <w:tc>
          <w:tcPr>
            <w:tcW w:type="dxa" w:w="1234"/>
          </w:tcPr>
          <w:p>
            <w:r>
              <w:rPr>
                <w:rFonts w:ascii="Calibri" w:hAnsi="Calibri"/>
                <w:sz w:val="22"/>
              </w:rPr>
              <w:t>Selective; cautious on consumer</w:t>
            </w:r>
          </w:p>
        </w:tc>
        <w:tc>
          <w:tcPr>
            <w:tcW w:type="dxa" w:w="1234"/>
          </w:tcPr>
          <w:p>
            <w:r>
              <w:rPr>
                <w:rFonts w:ascii="Calibri" w:hAnsi="Calibri"/>
                <w:sz w:val="22"/>
              </w:rPr>
              <w:t>N/A</w:t>
            </w:r>
          </w:p>
        </w:tc>
      </w:tr>
    </w:tbl>
    <w:p>
      <w:r>
        <w:rPr>
          <w:rFonts w:ascii="Calibri" w:hAnsi="Calibri"/>
          <w:color w:val="525866"/>
          <w:sz w:val="22"/>
        </w:rPr>
        <w:t>Source: Visible Alpha consensus and actuals data. Q2 2026 guidance midpoint = $900M. All figures in USD millions unless noted.</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Total Revenue and Non-GAAP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$804.2M</w:t>
            </w:r>
          </w:p>
        </w:tc>
        <w:tc>
          <w:tcPr>
            <w:tcW w:type="dxa" w:w="1440"/>
          </w:tcPr>
          <w:p>
            <w:r>
              <w:rPr>
                <w:rFonts w:ascii="Calibri" w:hAnsi="Calibri"/>
                <w:sz w:val="22"/>
              </w:rPr>
              <w:t>$782.0M</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$5.10</w:t>
            </w:r>
          </w:p>
        </w:tc>
        <w:tc>
          <w:tcPr>
            <w:tcW w:type="dxa" w:w="1440"/>
          </w:tcPr>
          <w:p>
            <w:r>
              <w:rPr>
                <w:rFonts w:ascii="Calibri" w:hAnsi="Calibri"/>
                <w:sz w:val="22"/>
              </w:rPr>
              <w:t>$4.90</w:t>
            </w:r>
          </w:p>
        </w:tc>
        <w:tc>
          <w:tcPr>
            <w:tcW w:type="dxa" w:w="1440"/>
          </w:tcPr>
          <w:p>
            <w:r>
              <w:rPr>
                <w:rFonts w:ascii="Calibri" w:hAnsi="Calibri"/>
                <w:b/>
                <w:color w:val="30A46C"/>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$751.2M</w:t>
            </w:r>
          </w:p>
        </w:tc>
        <w:tc>
          <w:tcPr>
            <w:tcW w:type="dxa" w:w="1440"/>
          </w:tcPr>
          <w:p>
            <w:r>
              <w:rPr>
                <w:rFonts w:ascii="Calibri" w:hAnsi="Calibri"/>
                <w:sz w:val="22"/>
              </w:rPr>
              <w:t>$742.4M</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$4.79</w:t>
            </w:r>
          </w:p>
        </w:tc>
        <w:tc>
          <w:tcPr>
            <w:tcW w:type="dxa" w:w="1440"/>
          </w:tcPr>
          <w:p>
            <w:r>
              <w:rPr>
                <w:rFonts w:ascii="Calibri" w:hAnsi="Calibri"/>
                <w:sz w:val="22"/>
              </w:rPr>
              <w:t>$4.74</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$737.2M</w:t>
            </w:r>
          </w:p>
        </w:tc>
        <w:tc>
          <w:tcPr>
            <w:tcW w:type="dxa" w:w="1440"/>
          </w:tcPr>
          <w:p>
            <w:r>
              <w:rPr>
                <w:rFonts w:ascii="Calibri" w:hAnsi="Calibri"/>
                <w:sz w:val="22"/>
              </w:rPr>
              <w:t>$722.4M</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$4.73</w:t>
            </w:r>
          </w:p>
        </w:tc>
        <w:tc>
          <w:tcPr>
            <w:tcW w:type="dxa" w:w="1440"/>
          </w:tcPr>
          <w:p>
            <w:r>
              <w:rPr>
                <w:rFonts w:ascii="Calibri" w:hAnsi="Calibri"/>
                <w:sz w:val="22"/>
              </w:rPr>
              <w:t>$4.64</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$664.6M</w:t>
            </w:r>
          </w:p>
        </w:tc>
        <w:tc>
          <w:tcPr>
            <w:tcW w:type="dxa" w:w="1440"/>
          </w:tcPr>
          <w:p>
            <w:r>
              <w:rPr>
                <w:rFonts w:ascii="Calibri" w:hAnsi="Calibri"/>
                <w:sz w:val="22"/>
              </w:rPr>
              <w:t>$652.1M</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$4.21</w:t>
            </w:r>
          </w:p>
        </w:tc>
        <w:tc>
          <w:tcPr>
            <w:tcW w:type="dxa" w:w="1440"/>
          </w:tcPr>
          <w:p>
            <w:r>
              <w:rPr>
                <w:rFonts w:ascii="Calibri" w:hAnsi="Calibri"/>
                <w:sz w:val="22"/>
              </w:rPr>
              <w:t>$4.13</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$637.6M</w:t>
            </w:r>
          </w:p>
        </w:tc>
        <w:tc>
          <w:tcPr>
            <w:tcW w:type="dxa" w:w="1440"/>
          </w:tcPr>
          <w:p>
            <w:r>
              <w:rPr>
                <w:rFonts w:ascii="Calibri" w:hAnsi="Calibri"/>
                <w:sz w:val="22"/>
              </w:rPr>
              <w:t>$633.3M</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$4.04</w:t>
            </w:r>
          </w:p>
        </w:tc>
        <w:tc>
          <w:tcPr>
            <w:tcW w:type="dxa" w:w="1440"/>
          </w:tcPr>
          <w:p>
            <w:r>
              <w:rPr>
                <w:rFonts w:ascii="Calibri" w:hAnsi="Calibri"/>
                <w:sz w:val="22"/>
              </w:rPr>
              <w:t>$4.01</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$621.7M</w:t>
            </w:r>
          </w:p>
        </w:tc>
        <w:tc>
          <w:tcPr>
            <w:tcW w:type="dxa" w:w="1440"/>
          </w:tcPr>
          <w:p>
            <w:r>
              <w:rPr>
                <w:rFonts w:ascii="Calibri" w:hAnsi="Calibri"/>
                <w:sz w:val="22"/>
              </w:rPr>
              <w:t>$607.9M</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$4.09</w:t>
            </w:r>
          </w:p>
        </w:tc>
        <w:tc>
          <w:tcPr>
            <w:tcW w:type="dxa" w:w="1440"/>
          </w:tcPr>
          <w:p>
            <w:r>
              <w:rPr>
                <w:rFonts w:ascii="Calibri" w:hAnsi="Calibri"/>
                <w:sz w:val="22"/>
              </w:rPr>
              <w:t>$3.97</w:t>
            </w:r>
          </w:p>
        </w:tc>
        <w:tc>
          <w:tcPr>
            <w:tcW w:type="dxa" w:w="1440"/>
          </w:tcPr>
          <w:p>
            <w:r>
              <w:rPr>
                <w:rFonts w:ascii="Calibri" w:hAnsi="Calibri"/>
                <w:b/>
                <w:color w:val="30A46C"/>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$620.1M</w:t>
            </w:r>
          </w:p>
        </w:tc>
        <w:tc>
          <w:tcPr>
            <w:tcW w:type="dxa" w:w="1440"/>
          </w:tcPr>
          <w:p>
            <w:r>
              <w:rPr>
                <w:rFonts w:ascii="Calibri" w:hAnsi="Calibri"/>
                <w:sz w:val="22"/>
              </w:rPr>
              <w:t>$600.6M</w:t>
            </w:r>
          </w:p>
        </w:tc>
        <w:tc>
          <w:tcPr>
            <w:tcW w:type="dxa" w:w="1440"/>
          </w:tcPr>
          <w:p>
            <w:r>
              <w:rPr>
                <w:rFonts w:ascii="Calibri" w:hAnsi="Calibri"/>
                <w:b/>
                <w:color w:val="30A46C"/>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$4.06</w:t>
            </w:r>
          </w:p>
        </w:tc>
        <w:tc>
          <w:tcPr>
            <w:tcW w:type="dxa" w:w="1440"/>
          </w:tcPr>
          <w:p>
            <w:r>
              <w:rPr>
                <w:rFonts w:ascii="Calibri" w:hAnsi="Calibri"/>
                <w:sz w:val="22"/>
              </w:rPr>
              <w:t>$3.97</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$507.4M</w:t>
            </w:r>
          </w:p>
        </w:tc>
        <w:tc>
          <w:tcPr>
            <w:tcW w:type="dxa" w:w="1440"/>
          </w:tcPr>
          <w:p>
            <w:r>
              <w:rPr>
                <w:rFonts w:ascii="Calibri" w:hAnsi="Calibri"/>
                <w:sz w:val="22"/>
              </w:rPr>
              <w:t>$490.7M</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$3.17</w:t>
            </w:r>
          </w:p>
        </w:tc>
        <w:tc>
          <w:tcPr>
            <w:tcW w:type="dxa" w:w="1440"/>
          </w:tcPr>
          <w:p>
            <w:r>
              <w:rPr>
                <w:rFonts w:ascii="Calibri" w:hAnsi="Calibri"/>
                <w:sz w:val="22"/>
              </w:rPr>
              <w:t>$3.07</w:t>
            </w:r>
          </w:p>
        </w:tc>
        <w:tc>
          <w:tcPr>
            <w:tcW w:type="dxa" w:w="1440"/>
          </w:tcPr>
          <w:p>
            <w:r>
              <w:rPr>
                <w:rFonts w:ascii="Calibri" w:hAnsi="Calibri"/>
                <w:b/>
                <w:color w:val="30A46C"/>
                <w:sz w:val="22"/>
              </w:rPr>
              <w:t>+3.3%</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MPWR has beaten consensus on both revenue and non-GAAP EPS in each of the last 8 quarters, with revenue surprises ranging from +0.7% to +3.4% and EPS surprises from +0.7% to +4.1% — a consistent but modest beat cadence that sets a reasonable expectation for Q2 2026.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April 30 Q1 2026 earnings call, but management's tone was notably bullish — the </w:t>
      </w:r>
      <w:r>
        <w:rPr>
          <w:rFonts w:ascii="Calibri" w:hAnsi="Calibri"/>
          <w:b/>
          <w:color w:val="525866"/>
          <w:sz w:val="22"/>
        </w:rPr>
        <w:t>Enterprise Data growth floor was raised for the second consecutive quarter</w:t>
      </w:r>
      <w:r>
        <w:rPr>
          <w:rFonts w:ascii="Calibri" w:hAnsi="Calibri"/>
          <w:color w:val="525866"/>
          <w:sz w:val="22"/>
        </w:rPr>
        <w:t xml:space="preserve"> (to ~85% YoY) and Communications was flagged as a Q2 outperformer. The only cautionary note was potential </w:t>
      </w:r>
      <w:r>
        <w:rPr>
          <w:rFonts w:ascii="Calibri" w:hAnsi="Calibri"/>
          <w:b/>
          <w:color w:val="525866"/>
          <w:sz w:val="22"/>
        </w:rPr>
        <w:t>gross margin headwinds in H2 2026</w:t>
      </w:r>
      <w:r>
        <w:rPr>
          <w:rFonts w:ascii="Calibri" w:hAnsi="Calibri"/>
          <w:color w:val="525866"/>
          <w:sz w:val="22"/>
        </w:rPr>
        <w:t>, which remains the key watch item.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$890M – $910M</w:t>
            </w:r>
          </w:p>
        </w:tc>
        <w:tc>
          <w:tcPr>
            <w:tcW w:type="dxa" w:w="1728"/>
          </w:tcPr>
          <w:p>
            <w:r>
              <w:rPr>
                <w:rFonts w:ascii="Calibri" w:hAnsi="Calibri"/>
                <w:sz w:val="22"/>
              </w:rPr>
              <w:t>—</w:t>
            </w:r>
          </w:p>
        </w:tc>
        <w:tc>
          <w:tcPr>
            <w:tcW w:type="dxa" w:w="1728"/>
          </w:tcPr>
          <w:p>
            <w:r>
              <w:rPr>
                <w:rFonts w:ascii="Calibri" w:hAnsi="Calibri"/>
                <w:sz w:val="22"/>
              </w:rPr>
              <w:t>$903.3M</w:t>
            </w:r>
          </w:p>
        </w:tc>
        <w:tc>
          <w:tcPr>
            <w:tcW w:type="dxa" w:w="1728"/>
          </w:tcPr>
          <w:p>
            <w:r>
              <w:rPr>
                <w:rFonts w:ascii="Calibri" w:hAnsi="Calibri"/>
                <w:sz w:val="22"/>
              </w:rPr>
              <w:t>Unchanged since Q1 call; consensus sits at midpoint +$3M</w:t>
            </w:r>
          </w:p>
        </w:tc>
      </w:tr>
      <w:tr>
        <w:tc>
          <w:tcPr>
            <w:tcW w:type="dxa" w:w="1728"/>
          </w:tcPr>
          <w:p>
            <w:r>
              <w:rPr>
                <w:rFonts w:ascii="Calibri" w:hAnsi="Calibri"/>
                <w:sz w:val="22"/>
              </w:rPr>
              <w:t>Q2 2026 Non-GAAP Gross Margin</w:t>
            </w:r>
          </w:p>
        </w:tc>
        <w:tc>
          <w:tcPr>
            <w:tcW w:type="dxa" w:w="1728"/>
          </w:tcPr>
          <w:p>
            <w:r>
              <w:rPr>
                <w:rFonts w:ascii="Calibri" w:hAnsi="Calibri"/>
                <w:sz w:val="22"/>
              </w:rPr>
              <w:t>Incremental improvement from 55.5% (Q1 level)</w:t>
            </w:r>
          </w:p>
        </w:tc>
        <w:tc>
          <w:tcPr>
            <w:tcW w:type="dxa" w:w="1728"/>
          </w:tcPr>
          <w:p>
            <w:r>
              <w:rPr>
                <w:rFonts w:ascii="Calibri" w:hAnsi="Calibri"/>
                <w:sz w:val="22"/>
              </w:rPr>
              <w:t>—</w:t>
            </w:r>
          </w:p>
        </w:tc>
        <w:tc>
          <w:tcPr>
            <w:tcW w:type="dxa" w:w="1728"/>
          </w:tcPr>
          <w:p>
            <w:r>
              <w:rPr>
                <w:rFonts w:ascii="Calibri" w:hAnsi="Calibri"/>
                <w:sz w:val="22"/>
              </w:rPr>
              <w:t>~55.6% implied</w:t>
            </w:r>
          </w:p>
        </w:tc>
        <w:tc>
          <w:tcPr>
            <w:tcW w:type="dxa" w:w="1728"/>
          </w:tcPr>
          <w:p>
            <w:r>
              <w:rPr>
                <w:rFonts w:ascii="Calibri" w:hAnsi="Calibri"/>
                <w:sz w:val="22"/>
              </w:rPr>
              <w:t>Unchanged; management cited better backlog visibility enabling modest improvement</w:t>
            </w:r>
          </w:p>
        </w:tc>
      </w:tr>
      <w:tr>
        <w:tc>
          <w:tcPr>
            <w:tcW w:type="dxa" w:w="1728"/>
          </w:tcPr>
          <w:p>
            <w:r>
              <w:rPr>
                <w:rFonts w:ascii="Calibri" w:hAnsi="Calibri"/>
                <w:sz w:val="22"/>
              </w:rPr>
              <w:t>FY 2026 Enterprise Data Growth</w:t>
            </w:r>
          </w:p>
        </w:tc>
        <w:tc>
          <w:tcPr>
            <w:tcW w:type="dxa" w:w="1728"/>
          </w:tcPr>
          <w:p>
            <w:r>
              <w:rPr>
                <w:rFonts w:ascii="Calibri" w:hAnsi="Calibri"/>
                <w:sz w:val="22"/>
              </w:rPr>
              <w:t>~85% YoY floor (raised from ~50% at Q4 2025 call)</w:t>
            </w:r>
          </w:p>
        </w:tc>
        <w:tc>
          <w:tcPr>
            <w:tcW w:type="dxa" w:w="1728"/>
          </w:tcPr>
          <w:p>
            <w:r>
              <w:rPr>
                <w:rFonts w:ascii="Calibri" w:hAnsi="Calibri"/>
                <w:sz w:val="22"/>
              </w:rPr>
              <w:t>—</w:t>
            </w:r>
          </w:p>
        </w:tc>
        <w:tc>
          <w:tcPr>
            <w:tcW w:type="dxa" w:w="1728"/>
          </w:tcPr>
          <w:p>
            <w:r>
              <w:rPr>
                <w:rFonts w:ascii="Calibri" w:hAnsi="Calibri"/>
                <w:sz w:val="22"/>
              </w:rPr>
              <w:t>~$1.33B FY consensus (+122% YoY)</w:t>
            </w:r>
          </w:p>
        </w:tc>
        <w:tc>
          <w:tcPr>
            <w:tcW w:type="dxa" w:w="1728"/>
          </w:tcPr>
          <w:p>
            <w:r>
              <w:rPr>
                <w:rFonts w:ascii="Calibri" w:hAnsi="Calibri"/>
                <w:sz w:val="22"/>
              </w:rPr>
              <w:t>Raised at Q1 2026 call; driven by extended backlog visibility and ordering patterns through year-end</w:t>
            </w:r>
          </w:p>
        </w:tc>
      </w:tr>
      <w:tr>
        <w:tc>
          <w:tcPr>
            <w:tcW w:type="dxa" w:w="1728"/>
          </w:tcPr>
          <w:p>
            <w:r>
              <w:rPr>
                <w:rFonts w:ascii="Calibri" w:hAnsi="Calibri"/>
                <w:sz w:val="22"/>
              </w:rPr>
              <w:t>H2 2026 Gross Margin</w:t>
            </w:r>
          </w:p>
        </w:tc>
        <w:tc>
          <w:tcPr>
            <w:tcW w:type="dxa" w:w="1728"/>
          </w:tcPr>
          <w:p>
            <w:r>
              <w:rPr>
                <w:rFonts w:ascii="Calibri" w:hAnsi="Calibri"/>
                <w:sz w:val="22"/>
              </w:rPr>
              <w:t>Cautious; potential headwinds flagged</w:t>
            </w:r>
          </w:p>
        </w:tc>
        <w:tc>
          <w:tcPr>
            <w:tcW w:type="dxa" w:w="1728"/>
          </w:tcPr>
          <w:p>
            <w:r>
              <w:rPr>
                <w:rFonts w:ascii="Calibri" w:hAnsi="Calibri"/>
                <w:sz w:val="22"/>
              </w:rPr>
              <w:t>—</w:t>
            </w:r>
          </w:p>
        </w:tc>
        <w:tc>
          <w:tcPr>
            <w:tcW w:type="dxa" w:w="1728"/>
          </w:tcPr>
          <w:p>
            <w:r>
              <w:rPr>
                <w:rFonts w:ascii="Calibri" w:hAnsi="Calibri"/>
                <w:sz w:val="22"/>
              </w:rPr>
              <w:t>N/A (no H2 specific consensus)</w:t>
            </w:r>
          </w:p>
        </w:tc>
        <w:tc>
          <w:tcPr>
            <w:tcW w:type="dxa" w:w="1728"/>
          </w:tcPr>
          <w:p>
            <w:r>
              <w:rPr>
                <w:rFonts w:ascii="Calibri" w:hAnsi="Calibri"/>
                <w:sz w:val="22"/>
              </w:rPr>
              <w:t>Management explicitly cautious; short lead times limiting mix management</w:t>
            </w:r>
          </w:p>
        </w:tc>
      </w:tr>
      <w:tr>
        <w:tc>
          <w:tcPr>
            <w:tcW w:type="dxa" w:w="1728"/>
          </w:tcPr>
          <w:p>
            <w:r>
              <w:rPr>
                <w:rFonts w:ascii="Calibri" w:hAnsi="Calibri"/>
                <w:sz w:val="22"/>
              </w:rPr>
              <w:t>Communications Segment</w:t>
            </w:r>
          </w:p>
        </w:tc>
        <w:tc>
          <w:tcPr>
            <w:tcW w:type="dxa" w:w="1728"/>
          </w:tcPr>
          <w:p>
            <w:r>
              <w:rPr>
                <w:rFonts w:ascii="Calibri" w:hAnsi="Calibri"/>
                <w:sz w:val="22"/>
              </w:rPr>
              <w:t>One of faster-growing segments in Q2; above corporate average for FY</w:t>
            </w:r>
          </w:p>
        </w:tc>
        <w:tc>
          <w:tcPr>
            <w:tcW w:type="dxa" w:w="1728"/>
          </w:tcPr>
          <w:p>
            <w:r>
              <w:rPr>
                <w:rFonts w:ascii="Calibri" w:hAnsi="Calibri"/>
                <w:sz w:val="22"/>
              </w:rPr>
              <w:t>—</w:t>
            </w:r>
          </w:p>
        </w:tc>
        <w:tc>
          <w:tcPr>
            <w:tcW w:type="dxa" w:w="1728"/>
          </w:tcPr>
          <w:p>
            <w:r>
              <w:rPr>
                <w:rFonts w:ascii="Calibri" w:hAnsi="Calibri"/>
                <w:sz w:val="22"/>
              </w:rPr>
              <w:t>$133.0M Q2 consensus (+80% YoY)</w:t>
            </w:r>
          </w:p>
        </w:tc>
        <w:tc>
          <w:tcPr>
            <w:tcW w:type="dxa" w:w="1728"/>
          </w:tcPr>
          <w:p>
            <w:r>
              <w:rPr>
                <w:rFonts w:ascii="Calibri" w:hAnsi="Calibri"/>
                <w:sz w:val="22"/>
              </w:rPr>
              <w:t>Strong ordering patterns extending through year-end; optical modules and switches driving growth</w:t>
            </w:r>
          </w:p>
        </w:tc>
      </w:tr>
      <w:tr>
        <w:tc>
          <w:tcPr>
            <w:tcW w:type="dxa" w:w="1728"/>
          </w:tcPr>
          <w:p>
            <w:r>
              <w:rPr>
                <w:rFonts w:ascii="Calibri" w:hAnsi="Calibri"/>
                <w:sz w:val="22"/>
              </w:rPr>
              <w:t>Manufacturing Capacity Target</w:t>
            </w:r>
          </w:p>
        </w:tc>
        <w:tc>
          <w:tcPr>
            <w:tcW w:type="dxa" w:w="1728"/>
          </w:tcPr>
          <w:p>
            <w:r>
              <w:rPr>
                <w:rFonts w:ascii="Calibri" w:hAnsi="Calibri"/>
                <w:sz w:val="22"/>
              </w:rPr>
              <w:t>Raised to $6B (from $4B)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at Q1 2026 call; reflects confidence in design win pipeline converting to revenue</w:t>
            </w:r>
          </w:p>
        </w:tc>
      </w:tr>
      <w:tr>
        <w:tc>
          <w:tcPr>
            <w:tcW w:type="dxa" w:w="1728"/>
          </w:tcPr>
          <w:p>
            <w:r>
              <w:rPr>
                <w:rFonts w:ascii="Calibri" w:hAnsi="Calibri"/>
                <w:sz w:val="22"/>
              </w:rPr>
              <w:t>Quarterly Dividend</w:t>
            </w:r>
          </w:p>
        </w:tc>
        <w:tc>
          <w:tcPr>
            <w:tcW w:type="dxa" w:w="1728"/>
          </w:tcPr>
          <w:p>
            <w:r>
              <w:rPr>
                <w:rFonts w:ascii="Calibri" w:hAnsi="Calibri"/>
                <w:sz w:val="22"/>
              </w:rPr>
              <w:t>N/A (declared separately)</w:t>
            </w:r>
          </w:p>
        </w:tc>
        <w:tc>
          <w:tcPr>
            <w:tcW w:type="dxa" w:w="1728"/>
          </w:tcPr>
          <w:p>
            <w:r>
              <w:rPr>
                <w:rFonts w:ascii="Calibri" w:hAnsi="Calibri"/>
                <w:sz w:val="22"/>
              </w:rPr>
              <w:t>$2.00/share declared Jun 12, 2026</w:t>
            </w:r>
          </w:p>
        </w:tc>
        <w:tc>
          <w:tcPr>
            <w:tcW w:type="dxa" w:w="1728"/>
          </w:tcPr>
          <w:p>
            <w:r>
              <w:rPr>
                <w:rFonts w:ascii="Calibri" w:hAnsi="Calibri"/>
                <w:sz w:val="22"/>
              </w:rPr>
              <w:t>N/A</w:t>
            </w:r>
          </w:p>
        </w:tc>
        <w:tc>
          <w:tcPr>
            <w:tcW w:type="dxa" w:w="1728"/>
          </w:tcPr>
          <w:p>
            <w:r>
              <w:rPr>
                <w:rFonts w:ascii="Calibri" w:hAnsi="Calibri"/>
                <w:sz w:val="22"/>
              </w:rPr>
              <w:t>↑ Raised via 8-K Jun 12, 2026; 28% increase from prior dividend</w:t>
            </w:r>
          </w:p>
        </w:tc>
      </w:tr>
    </w:tbl>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2026 print — Q2 2026 revenue consensus is up only ~0.2% from the post-earnings baseline, and EPS is down ~0.2% — suggesting the Street has largely priced in the guidance raise without adding incremental upside. </w:t>
      </w:r>
      <w:r>
        <w:rPr>
          <w:rFonts w:ascii="Calibri" w:hAnsi="Calibri"/>
          <w:b/>
          <w:color w:val="525866"/>
          <w:sz w:val="22"/>
        </w:rPr>
        <w:t>FY 2026 estimates have moved up ~0.5% on revenue and ~0.8% on EPS</w:t>
      </w:r>
      <w:r>
        <w:rPr>
          <w:rFonts w:ascii="Calibri" w:hAnsi="Calibri"/>
          <w:color w:val="525866"/>
          <w:sz w:val="22"/>
        </w:rPr>
        <w:t xml:space="preserve"> since the Q1 print, tracking closely with the raised Enterprise Data growth floor.</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~5 Days Post Q1 Earnings (May 5, 2026)</w:t>
            </w:r>
          </w:p>
        </w:tc>
        <w:tc>
          <w:tcPr>
            <w:tcW w:type="dxa" w:w="1234"/>
            <w:shd w:val="clear" w:color="auto" w:fill="3B4259"/>
          </w:tcPr>
          <w:p>
            <w:r>
              <w:rPr>
                <w:rFonts w:ascii="Calibri" w:hAnsi="Calibri"/>
                <w:b/>
                <w:color w:val="FFFFFF"/>
                <w:sz w:val="22"/>
              </w:rPr>
              <w:t>Current Consensus</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Revenue — Q2 2026</w:t>
            </w:r>
          </w:p>
        </w:tc>
        <w:tc>
          <w:tcPr>
            <w:tcW w:type="dxa" w:w="1234"/>
          </w:tcPr>
          <w:p>
            <w:r>
              <w:rPr>
                <w:rFonts w:ascii="Calibri" w:hAnsi="Calibri"/>
                <w:sz w:val="22"/>
              </w:rPr>
              <w:t>$901.3M</w:t>
            </w:r>
          </w:p>
        </w:tc>
        <w:tc>
          <w:tcPr>
            <w:tcW w:type="dxa" w:w="1234"/>
          </w:tcPr>
          <w:p>
            <w:r>
              <w:rPr>
                <w:rFonts w:ascii="Calibri" w:hAnsi="Calibri"/>
                <w:sz w:val="22"/>
              </w:rPr>
              <w:t>$903.3M</w:t>
            </w:r>
          </w:p>
        </w:tc>
        <w:tc>
          <w:tcPr>
            <w:tcW w:type="dxa" w:w="1234"/>
          </w:tcPr>
          <w:p>
            <w:r>
              <w:rPr>
                <w:rFonts w:ascii="Calibri" w:hAnsi="Calibri"/>
                <w:sz w:val="22"/>
              </w:rPr>
              <w:t>+0.2%</w:t>
            </w:r>
          </w:p>
        </w:tc>
        <w:tc>
          <w:tcPr>
            <w:tcW w:type="dxa" w:w="1234"/>
          </w:tcPr>
          <w:p>
            <w:r>
              <w:rPr>
                <w:rFonts w:ascii="Calibri" w:hAnsi="Calibri"/>
                <w:sz w:val="22"/>
              </w:rPr>
              <w:t>$890–$910M</w:t>
            </w:r>
          </w:p>
        </w:tc>
        <w:tc>
          <w:tcPr>
            <w:tcW w:type="dxa" w:w="1234"/>
          </w:tcPr>
          <w:p>
            <w:r>
              <w:rPr>
                <w:rFonts w:ascii="Calibri" w:hAnsi="Calibri"/>
                <w:sz w:val="22"/>
              </w:rPr>
              <w:t>Unchanged</w:t>
            </w:r>
          </w:p>
        </w:tc>
        <w:tc>
          <w:tcPr>
            <w:tcW w:type="dxa" w:w="1234"/>
          </w:tcPr>
          <w:p>
            <w:r>
              <w:rPr>
                <w:rFonts w:ascii="Calibri" w:hAnsi="Calibri"/>
                <w:sz w:val="22"/>
              </w:rPr>
              <w:t>+0.4% vs. midpoint</w:t>
            </w:r>
          </w:p>
        </w:tc>
      </w:tr>
      <w:tr>
        <w:tc>
          <w:tcPr>
            <w:tcW w:type="dxa" w:w="1234"/>
          </w:tcPr>
          <w:p>
            <w:r>
              <w:rPr>
                <w:rFonts w:ascii="Calibri" w:hAnsi="Calibri"/>
                <w:sz w:val="22"/>
              </w:rPr>
              <w:t>Non-GAAP EPS — Q2 2026</w:t>
            </w:r>
          </w:p>
        </w:tc>
        <w:tc>
          <w:tcPr>
            <w:tcW w:type="dxa" w:w="1234"/>
          </w:tcPr>
          <w:p>
            <w:r>
              <w:rPr>
                <w:rFonts w:ascii="Calibri" w:hAnsi="Calibri"/>
                <w:sz w:val="22"/>
              </w:rPr>
              <w:t>$5.85</w:t>
            </w:r>
          </w:p>
        </w:tc>
        <w:tc>
          <w:tcPr>
            <w:tcW w:type="dxa" w:w="1234"/>
          </w:tcPr>
          <w:p>
            <w:r>
              <w:rPr>
                <w:rFonts w:ascii="Calibri" w:hAnsi="Calibri"/>
                <w:sz w:val="22"/>
              </w:rPr>
              <w:t>$5.87</w:t>
            </w:r>
          </w:p>
        </w:tc>
        <w:tc>
          <w:tcPr>
            <w:tcW w:type="dxa" w:w="1234"/>
          </w:tcPr>
          <w:p>
            <w:r>
              <w:rPr>
                <w:rFonts w:ascii="Calibri" w:hAnsi="Calibri"/>
                <w:sz w:val="22"/>
              </w:rPr>
              <w:t>+0.4%</w:t>
            </w:r>
          </w:p>
        </w:tc>
        <w:tc>
          <w:tcPr>
            <w:tcW w:type="dxa" w:w="1234"/>
          </w:tcPr>
          <w:p>
            <w:r>
              <w:rPr>
                <w:rFonts w:ascii="Calibri" w:hAnsi="Calibri"/>
                <w:sz w:val="22"/>
              </w:rPr>
              <w:t>No explicit guidance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FY 2026</w:t>
            </w:r>
          </w:p>
        </w:tc>
        <w:tc>
          <w:tcPr>
            <w:tcW w:type="dxa" w:w="1234"/>
          </w:tcPr>
          <w:p>
            <w:r>
              <w:rPr>
                <w:rFonts w:ascii="Calibri" w:hAnsi="Calibri"/>
                <w:sz w:val="22"/>
              </w:rPr>
              <w:t>$3,694.5M</w:t>
            </w:r>
          </w:p>
        </w:tc>
        <w:tc>
          <w:tcPr>
            <w:tcW w:type="dxa" w:w="1234"/>
          </w:tcPr>
          <w:p>
            <w:r>
              <w:rPr>
                <w:rFonts w:ascii="Calibri" w:hAnsi="Calibri"/>
                <w:sz w:val="22"/>
              </w:rPr>
              <w:t>$3,712.6M</w:t>
            </w:r>
          </w:p>
        </w:tc>
        <w:tc>
          <w:tcPr>
            <w:tcW w:type="dxa" w:w="1234"/>
          </w:tcPr>
          <w:p>
            <w:r>
              <w:rPr>
                <w:rFonts w:ascii="Calibri" w:hAnsi="Calibri"/>
                <w:sz w:val="22"/>
              </w:rPr>
              <w:t>+0.5%</w:t>
            </w:r>
          </w:p>
        </w:tc>
        <w:tc>
          <w:tcPr>
            <w:tcW w:type="dxa" w:w="1234"/>
          </w:tcPr>
          <w:p>
            <w:r>
              <w:rPr>
                <w:rFonts w:ascii="Calibri" w:hAnsi="Calibri"/>
                <w:sz w:val="22"/>
              </w:rPr>
              <w:t>~85% YoY Enterprise Data floor</w:t>
            </w:r>
          </w:p>
        </w:tc>
        <w:tc>
          <w:tcPr>
            <w:tcW w:type="dxa" w:w="1234"/>
          </w:tcPr>
          <w:p>
            <w:r>
              <w:rPr>
                <w:rFonts w:ascii="Calibri" w:hAnsi="Calibri"/>
                <w:sz w:val="22"/>
              </w:rPr>
              <w:t>Unchanged</w:t>
            </w:r>
          </w:p>
        </w:tc>
        <w:tc>
          <w:tcPr>
            <w:tcW w:type="dxa" w:w="1234"/>
          </w:tcPr>
          <w:p>
            <w:r>
              <w:rPr>
                <w:rFonts w:ascii="Calibri" w:hAnsi="Calibri"/>
                <w:sz w:val="22"/>
              </w:rPr>
              <w:t>Tracking guidance</w:t>
            </w:r>
          </w:p>
        </w:tc>
      </w:tr>
      <w:tr>
        <w:tc>
          <w:tcPr>
            <w:tcW w:type="dxa" w:w="1234"/>
          </w:tcPr>
          <w:p>
            <w:r>
              <w:rPr>
                <w:rFonts w:ascii="Calibri" w:hAnsi="Calibri"/>
                <w:sz w:val="22"/>
              </w:rPr>
              <w:t>Non-GAAP EPS — FY 2026</w:t>
            </w:r>
          </w:p>
        </w:tc>
        <w:tc>
          <w:tcPr>
            <w:tcW w:type="dxa" w:w="1234"/>
          </w:tcPr>
          <w:p>
            <w:r>
              <w:rPr>
                <w:rFonts w:ascii="Calibri" w:hAnsi="Calibri"/>
                <w:sz w:val="22"/>
              </w:rPr>
              <w:t>$23.97</w:t>
            </w:r>
          </w:p>
        </w:tc>
        <w:tc>
          <w:tcPr>
            <w:tcW w:type="dxa" w:w="1234"/>
          </w:tcPr>
          <w:p>
            <w:r>
              <w:rPr>
                <w:rFonts w:ascii="Calibri" w:hAnsi="Calibri"/>
                <w:sz w:val="22"/>
              </w:rPr>
              <w:t>$24.16</w:t>
            </w:r>
          </w:p>
        </w:tc>
        <w:tc>
          <w:tcPr>
            <w:tcW w:type="dxa" w:w="1234"/>
          </w:tcPr>
          <w:p>
            <w:r>
              <w:rPr>
                <w:rFonts w:ascii="Calibri" w:hAnsi="Calibri"/>
                <w:sz w:val="22"/>
              </w:rPr>
              <w:t>+0.8%</w:t>
            </w:r>
          </w:p>
        </w:tc>
        <w:tc>
          <w:tcPr>
            <w:tcW w:type="dxa" w:w="1234"/>
          </w:tcPr>
          <w:p>
            <w:r>
              <w:rPr>
                <w:rFonts w:ascii="Calibri" w:hAnsi="Calibri"/>
                <w:sz w:val="22"/>
              </w:rPr>
              <w:t>No explicit FY EPS guidance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Enterprise Data Revenue — Q2 2026</w:t>
            </w:r>
          </w:p>
        </w:tc>
        <w:tc>
          <w:tcPr>
            <w:tcW w:type="dxa" w:w="1234"/>
          </w:tcPr>
          <w:p>
            <w:r>
              <w:rPr>
                <w:rFonts w:ascii="Calibri" w:hAnsi="Calibri"/>
                <w:sz w:val="22"/>
              </w:rPr>
              <w:t>$315.2M</w:t>
            </w:r>
          </w:p>
        </w:tc>
        <w:tc>
          <w:tcPr>
            <w:tcW w:type="dxa" w:w="1234"/>
          </w:tcPr>
          <w:p>
            <w:r>
              <w:rPr>
                <w:rFonts w:ascii="Calibri" w:hAnsi="Calibri"/>
                <w:sz w:val="22"/>
              </w:rPr>
              <w:t>$319.4M</w:t>
            </w:r>
          </w:p>
        </w:tc>
        <w:tc>
          <w:tcPr>
            <w:tcW w:type="dxa" w:w="1234"/>
          </w:tcPr>
          <w:p>
            <w:r>
              <w:rPr>
                <w:rFonts w:ascii="Calibri" w:hAnsi="Calibri"/>
                <w:sz w:val="22"/>
              </w:rPr>
              <w:t>+1.3%</w:t>
            </w:r>
          </w:p>
        </w:tc>
        <w:tc>
          <w:tcPr>
            <w:tcW w:type="dxa" w:w="1234"/>
          </w:tcPr>
          <w:p>
            <w:r>
              <w:rPr>
                <w:rFonts w:ascii="Calibri" w:hAnsi="Calibri"/>
                <w:sz w:val="22"/>
              </w:rPr>
              <w:t>~85% YoY FY floor</w:t>
            </w:r>
          </w:p>
        </w:tc>
        <w:tc>
          <w:tcPr>
            <w:tcW w:type="dxa" w:w="1234"/>
          </w:tcPr>
          <w:p>
            <w:r>
              <w:rPr>
                <w:rFonts w:ascii="Calibri" w:hAnsi="Calibri"/>
                <w:sz w:val="22"/>
              </w:rPr>
              <w:t>Unchanged</w:t>
            </w:r>
          </w:p>
        </w:tc>
        <w:tc>
          <w:tcPr>
            <w:tcW w:type="dxa" w:w="1234"/>
          </w:tcPr>
          <w:p>
            <w:r>
              <w:rPr>
                <w:rFonts w:ascii="Calibri" w:hAnsi="Calibri"/>
                <w:sz w:val="22"/>
              </w:rPr>
              <w:t>N/A (FY floor, not Q-specific)</w:t>
            </w:r>
          </w:p>
        </w:tc>
      </w:tr>
      <w:tr>
        <w:tc>
          <w:tcPr>
            <w:tcW w:type="dxa" w:w="1234"/>
          </w:tcPr>
          <w:p>
            <w:r>
              <w:rPr>
                <w:rFonts w:ascii="Calibri" w:hAnsi="Calibri"/>
                <w:sz w:val="22"/>
              </w:rPr>
              <w:t>Enterprise Data Revenue — FY 2026</w:t>
            </w:r>
          </w:p>
        </w:tc>
        <w:tc>
          <w:tcPr>
            <w:tcW w:type="dxa" w:w="1234"/>
          </w:tcPr>
          <w:p>
            <w:r>
              <w:rPr>
                <w:rFonts w:ascii="Calibri" w:hAnsi="Calibri"/>
                <w:sz w:val="22"/>
              </w:rPr>
              <w:t>$1,310.4M</w:t>
            </w:r>
          </w:p>
        </w:tc>
        <w:tc>
          <w:tcPr>
            <w:tcW w:type="dxa" w:w="1234"/>
          </w:tcPr>
          <w:p>
            <w:r>
              <w:rPr>
                <w:rFonts w:ascii="Calibri" w:hAnsi="Calibri"/>
                <w:sz w:val="22"/>
              </w:rPr>
              <w:t>$1,333.9M</w:t>
            </w:r>
          </w:p>
        </w:tc>
        <w:tc>
          <w:tcPr>
            <w:tcW w:type="dxa" w:w="1234"/>
          </w:tcPr>
          <w:p>
            <w:r>
              <w:rPr>
                <w:rFonts w:ascii="Calibri" w:hAnsi="Calibri"/>
                <w:sz w:val="22"/>
              </w:rPr>
              <w:t>+1.8%</w:t>
            </w:r>
          </w:p>
        </w:tc>
        <w:tc>
          <w:tcPr>
            <w:tcW w:type="dxa" w:w="1234"/>
          </w:tcPr>
          <w:p>
            <w:r>
              <w:rPr>
                <w:rFonts w:ascii="Calibri" w:hAnsi="Calibri"/>
                <w:sz w:val="22"/>
              </w:rPr>
              <w:t>~85% YoY floor (~$1.26B implied)</w:t>
            </w:r>
          </w:p>
        </w:tc>
        <w:tc>
          <w:tcPr>
            <w:tcW w:type="dxa" w:w="1234"/>
          </w:tcPr>
          <w:p>
            <w:r>
              <w:rPr>
                <w:rFonts w:ascii="Calibri" w:hAnsi="Calibri"/>
                <w:sz w:val="22"/>
              </w:rPr>
              <w:t>Unchanged</w:t>
            </w:r>
          </w:p>
        </w:tc>
        <w:tc>
          <w:tcPr>
            <w:tcW w:type="dxa" w:w="1234"/>
          </w:tcPr>
          <w:p>
            <w:r>
              <w:rPr>
                <w:rFonts w:ascii="Calibri" w:hAnsi="Calibri"/>
                <w:sz w:val="22"/>
              </w:rPr>
              <w:t>+5.8% above guidance floor</w:t>
            </w:r>
          </w:p>
        </w:tc>
      </w:tr>
      <w:tr>
        <w:tc>
          <w:tcPr>
            <w:tcW w:type="dxa" w:w="1234"/>
          </w:tcPr>
          <w:p>
            <w:r>
              <w:rPr>
                <w:rFonts w:ascii="Calibri" w:hAnsi="Calibri"/>
                <w:sz w:val="22"/>
              </w:rPr>
              <w:t>Non-GAAP Gross Profit — Q2 2026</w:t>
            </w:r>
          </w:p>
        </w:tc>
        <w:tc>
          <w:tcPr>
            <w:tcW w:type="dxa" w:w="1234"/>
          </w:tcPr>
          <w:p>
            <w:r>
              <w:rPr>
                <w:rFonts w:ascii="Calibri" w:hAnsi="Calibri"/>
                <w:sz w:val="22"/>
              </w:rPr>
              <w:t>$500.8M</w:t>
            </w:r>
          </w:p>
        </w:tc>
        <w:tc>
          <w:tcPr>
            <w:tcW w:type="dxa" w:w="1234"/>
          </w:tcPr>
          <w:p>
            <w:r>
              <w:rPr>
                <w:rFonts w:ascii="Calibri" w:hAnsi="Calibri"/>
                <w:sz w:val="22"/>
              </w:rPr>
              <w:t>$502.0M</w:t>
            </w:r>
          </w:p>
        </w:tc>
        <w:tc>
          <w:tcPr>
            <w:tcW w:type="dxa" w:w="1234"/>
          </w:tcPr>
          <w:p>
            <w:r>
              <w:rPr>
                <w:rFonts w:ascii="Calibri" w:hAnsi="Calibri"/>
                <w:sz w:val="22"/>
              </w:rPr>
              <w:t>+0.2%</w:t>
            </w:r>
          </w:p>
        </w:tc>
        <w:tc>
          <w:tcPr>
            <w:tcW w:type="dxa" w:w="1234"/>
          </w:tcPr>
          <w:p>
            <w:r>
              <w:rPr>
                <w:rFonts w:ascii="Calibri" w:hAnsi="Calibri"/>
                <w:sz w:val="22"/>
              </w:rPr>
              <w:t>Incremental improvement from 55.5%</w:t>
            </w:r>
          </w:p>
        </w:tc>
        <w:tc>
          <w:tcPr>
            <w:tcW w:type="dxa" w:w="1234"/>
          </w:tcPr>
          <w:p>
            <w:r>
              <w:rPr>
                <w:rFonts w:ascii="Calibri" w:hAnsi="Calibri"/>
                <w:sz w:val="22"/>
              </w:rPr>
              <w:t>Unchanged</w:t>
            </w:r>
          </w:p>
        </w:tc>
        <w:tc>
          <w:tcPr>
            <w:tcW w:type="dxa" w:w="1234"/>
          </w:tcPr>
          <w:p>
            <w:r>
              <w:rPr>
                <w:rFonts w:ascii="Calibri" w:hAnsi="Calibri"/>
                <w:sz w:val="22"/>
              </w:rPr>
              <w:t>~55.6% implied; in-line with guidance</w:t>
            </w:r>
          </w:p>
        </w:tc>
      </w:tr>
    </w:tbl>
    <w:p>
      <w:r>
        <w:rPr>
          <w:rFonts w:ascii="Calibri" w:hAnsi="Calibri"/>
          <w:color w:val="525866"/>
          <w:sz w:val="22"/>
        </w:rPr>
        <w:t>Estimates are tracking guidance closely with minimal divergence — the slight upward drift in Enterprise Data FY estimates (+1.8%) reflects the Street pricing in execution above the 85% floor, which is consistent with management's commentary that the raise reflects backlog visibility rather than a change in underlying growth drivers. Source: Visible Alpha consensus and actuals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MPWR has been a dramatic underperformer since the Q1 2026 earnings print — </w:t>
      </w:r>
      <w:r>
        <w:rPr>
          <w:rFonts w:ascii="Calibri" w:hAnsi="Calibri"/>
          <w:b/>
          <w:color w:val="525866"/>
          <w:sz w:val="22"/>
        </w:rPr>
        <w:t>down ~22.6% vs. SOXX flat (+0.8%) and SPY +1.5%</w:t>
      </w:r>
      <w:r>
        <w:rPr>
          <w:rFonts w:ascii="Calibri" w:hAnsi="Calibri"/>
          <w:color w:val="525866"/>
          <w:sz w:val="22"/>
        </w:rPr>
        <w:t xml:space="preserve"> — driven almost entirely by multiple compression rather than estimate cuts, as consensus has barely moved. The de-rating reflects the market's skepticism about H2 gross margin recovery and the stock's elevated starting valuation heading into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MPWR vs. SOXX (Semiconductor ETF) vs. S&amp;P 500 (SPY) — Indexed to 100 at April 30, 2026 (last earnings date). MPWR: -22.6% | SOXX: +0.8% | SPY: +1.5%. Source: Stock Price Data.</w:t>
      </w:r>
    </w:p>
    <w:p>
      <w:r>
        <w:rPr>
          <w:rFonts w:ascii="Calibri" w:hAnsi="Calibri"/>
          <w:color w:val="525866"/>
          <w:sz w:val="22"/>
        </w:rPr>
        <w:t xml:space="preserve">MPWR opened the post-earnings period at $1,614 on April 30, 2026, and has declined to ~$1,249 as of July 30, 2026 — a loss of ~$365/share. The underperformance is stark: SOXX is essentially flat and SPY is modestly positive over the same period. The selloff has been broad-based and persistent, with two notable acceleration points: (1) a sharp drop in mid-June (June 5 and June 23–26) as the stock fell from ~$1,690 to ~$1,313, coinciding with broader semiconductor sector weakness; and (2) continued pressure in July as the stock failed to recover with peers. The June 12 dividend declaration ($2.00/share, +28%) provided no meaningful support. The net result is that MPWR's NTM P/E has compressed significantly from its post-earnings level, creating a more attractive entry point heading into Q2 results — but also signaling that the market wants to see evidence of gross margin recovery before re-rating the stock. Sector ETF used: </w:t>
      </w:r>
    </w:p>
    <w:p>
      <w:r>
        <w:rPr>
          <w:rFonts w:ascii="Calibri" w:hAnsi="Calibri"/>
          <w:b/>
          <w:color w:val="525866"/>
          <w:sz w:val="22"/>
        </w:rPr>
        <w:t>SOXX (iShares Semiconductor ETF)</w:t>
      </w:r>
      <w:r>
        <w:rPr>
          <w:rFonts w:ascii="Calibri" w:hAnsi="Calibri"/>
          <w:color w:val="525866"/>
          <w:sz w:val="22"/>
        </w:rPr>
        <w:t xml:space="preserve"> — appropriate for MPWR's power management semiconductor sub-sector.</w:t>
      </w:r>
    </w:p>
    <w:p>
      <w:r>
        <w:br w:type="page"/>
      </w:r>
    </w:p>
    <w:p>
      <w:pPr>
        <w:pStyle w:val="Heading2"/>
      </w:pPr>
      <w:r>
        <w:rPr>
          <w:rFonts w:ascii="Calibri" w:hAnsi="Calibri"/>
          <w:b/>
          <w:color w:val="3B4259"/>
          <w:sz w:val="28"/>
        </w:rPr>
        <w:t>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Q2 2026 earnings calls (TXN, ADI, NXPI) and Q1 2026 calls (ON, MCHP) is uniformly bullish on the demand environment — </w:t>
      </w:r>
      <w:r>
        <w:rPr>
          <w:rFonts w:ascii="Calibri" w:hAnsi="Calibri"/>
          <w:b/>
          <w:color w:val="525866"/>
          <w:sz w:val="22"/>
        </w:rPr>
        <w:t>data center power demand is accelerating, communications/optical is surging, and automotive is recovering</w:t>
      </w:r>
      <w:r>
        <w:rPr>
          <w:rFonts w:ascii="Calibri" w:hAnsi="Calibri"/>
          <w:color w:val="525866"/>
          <w:sz w:val="22"/>
        </w:rPr>
        <w:t xml:space="preserve"> — all of which are direct read-throughs to MPWR's key growth segments. The one cautionary note across peers is gross margin pressure from inflationary input costs and the pace of utilization recovery.</w:t>
      </w:r>
    </w:p>
    <w:p>
      <w:r>
        <w:rPr>
          <w:rFonts w:ascii="Calibri" w:hAnsi="Calibri"/>
          <w:color w:val="525866"/>
          <w:sz w:val="22"/>
        </w:rPr>
        <w:t>Note: Only commentary about Q2 2026 (current reporting quarter) or forward-looking commentary made after Q1 2026 earnings is included below. Prior-quarter result commentary has been excluded.</w:t>
      </w:r>
    </w:p>
    <w:p>
      <w:pPr>
        <w:pStyle w:val="Heading3"/>
      </w:pPr>
      <w:r>
        <w:rPr>
          <w:rFonts w:ascii="Calibri" w:hAnsi="Calibri"/>
          <w:b/>
          <w:color w:val="3B4259"/>
          <w:sz w:val="24"/>
        </w:rPr>
        <w:t>Texas Instruments (TXN) — Q2 2026 Earnings Call (July 22, 2026)</w:t>
      </w:r>
    </w:p>
    <w:p>
      <w:r>
        <w:rPr>
          <w:rFonts w:ascii="Calibri" w:hAnsi="Calibri"/>
          <w:b/>
          <w:color w:val="525866"/>
          <w:sz w:val="22"/>
        </w:rPr>
        <w:t xml:space="preserve">Read-Through Signal: </w:t>
      </w:r>
      <w:r>
        <w:rPr>
          <w:rFonts w:ascii="Calibri" w:hAnsi="Calibri"/>
          <w:color w:val="525866"/>
          <w:sz w:val="22"/>
        </w:rPr>
        <w:t>Strongly Positive for MPWR</w:t>
      </w:r>
    </w:p>
    <w:p>
      <w:pPr>
        <w:pStyle w:val="ListBullet"/>
        <w:ind w:left="360" w:hanging="360"/>
      </w:pPr>
      <w:r>
        <w:rPr>
          <w:rFonts w:ascii="Calibri" w:hAnsi="Calibri"/>
          <w:b/>
          <w:color w:val="525866"/>
          <w:sz w:val="22"/>
        </w:rPr>
        <w:t xml:space="preserve">Data Center Power Demand Doubled YoY: </w:t>
      </w:r>
      <w:r>
        <w:rPr>
          <w:rFonts w:ascii="Calibri" w:hAnsi="Calibri"/>
          <w:color w:val="525866"/>
          <w:sz w:val="22"/>
        </w:rPr>
        <w:t>TXN reported data center revenue doubled year-on-year and grew ~20% sequentially in Q2 2026, with management stating "we do continue to see strong demand in the data center market" and not expecting it to change "in the foreseeable future." TXN's chips are extensively used in the power tree within data centers — a direct read-through to MPWR's Enterprise Data segment.</w:t>
      </w:r>
    </w:p>
    <w:p>
      <w:pPr>
        <w:pStyle w:val="ListBullet"/>
        <w:ind w:left="360" w:hanging="360"/>
      </w:pPr>
      <w:r>
        <w:rPr>
          <w:rFonts w:ascii="Calibri" w:hAnsi="Calibri"/>
          <w:b/>
          <w:color w:val="525866"/>
          <w:sz w:val="22"/>
        </w:rPr>
        <w:t xml:space="preserve">800V Architecture Expanding TAM: </w:t>
      </w:r>
      <w:r>
        <w:rPr>
          <w:rFonts w:ascii="Calibri" w:hAnsi="Calibri"/>
          <w:color w:val="525866"/>
          <w:sz w:val="22"/>
        </w:rPr>
        <w:t>TXN's CEO explicitly discussed the transition to 800V architectures as a tailwind, noting "more conversion stages" and "higher growth of the TAM." This is directly relevant to MPWR, which is sampling 800V solutions and views this as a multi-year opportunity.</w:t>
      </w:r>
    </w:p>
    <w:p>
      <w:pPr>
        <w:pStyle w:val="ListBullet"/>
        <w:ind w:left="360" w:hanging="360"/>
      </w:pPr>
      <w:r>
        <w:rPr>
          <w:rFonts w:ascii="Calibri" w:hAnsi="Calibri"/>
          <w:b/>
          <w:color w:val="525866"/>
          <w:sz w:val="22"/>
        </w:rPr>
        <w:t xml:space="preserve">Industrial Up ~30% YoY, Still Below 2022 Peak: </w:t>
      </w:r>
      <w:r>
        <w:rPr>
          <w:rFonts w:ascii="Calibri" w:hAnsi="Calibri"/>
          <w:color w:val="525866"/>
          <w:sz w:val="22"/>
        </w:rPr>
        <w:t>Industrial revenue increased ~30% YoY and ~10% sequentially, with management noting the market is "still 5 or 6 points lower than the 2022 peak" — suggesting continued runway. Positive read-through for MPWR's Industrial segment.</w:t>
      </w:r>
    </w:p>
    <w:p>
      <w:pPr>
        <w:pStyle w:val="ListBullet"/>
        <w:ind w:left="360" w:hanging="360"/>
      </w:pPr>
      <w:r>
        <w:rPr>
          <w:rFonts w:ascii="Calibri" w:hAnsi="Calibri"/>
          <w:b/>
          <w:color w:val="525866"/>
          <w:sz w:val="22"/>
        </w:rPr>
        <w:t xml:space="preserve">Automotive Accelerating, Led by China EVs: </w:t>
      </w:r>
      <w:r>
        <w:rPr>
          <w:rFonts w:ascii="Calibri" w:hAnsi="Calibri"/>
          <w:color w:val="525866"/>
          <w:sz w:val="22"/>
        </w:rPr>
        <w:t>Automotive grew mid-teens YoY and upper-single-digits sequentially, with TXN calling it "the start of a very broad cycle." Automotive customers had taken inventory to "very low levels," driving replenishment demand. Positive for MPWR's Automotive segment, which management guided to ramp in H2 2026.</w:t>
      </w:r>
    </w:p>
    <w:p>
      <w:pPr>
        <w:pStyle w:val="ListBullet"/>
        <w:ind w:left="360" w:hanging="360"/>
      </w:pPr>
      <w:r>
        <w:rPr>
          <w:rFonts w:ascii="Calibri" w:hAnsi="Calibri"/>
          <w:b/>
          <w:color w:val="525866"/>
          <w:sz w:val="22"/>
        </w:rPr>
        <w:t xml:space="preserve">Pricing Increases Underway: </w:t>
      </w:r>
      <w:r>
        <w:rPr>
          <w:rFonts w:ascii="Calibri" w:hAnsi="Calibri"/>
          <w:color w:val="525866"/>
          <w:sz w:val="22"/>
        </w:rPr>
        <w:t>TXN has started executing price increases, with the impact beginning in Q3 and continuing into Q4. This is an industry-wide dynamic that could support MPWR's gross margin recovery narrative.</w:t>
      </w:r>
    </w:p>
    <w:p>
      <w:pPr>
        <w:pStyle w:val="ListBullet"/>
        <w:ind w:left="360" w:hanging="360"/>
      </w:pPr>
      <w:r>
        <w:rPr>
          <w:rFonts w:ascii="Calibri" w:hAnsi="Calibri"/>
          <w:b/>
          <w:color w:val="525866"/>
          <w:sz w:val="22"/>
        </w:rPr>
        <w:t xml:space="preserve">Q3 2026 Guidance Strong: </w:t>
      </w:r>
      <w:r>
        <w:rPr>
          <w:rFonts w:ascii="Calibri" w:hAnsi="Calibri"/>
          <w:color w:val="525866"/>
          <w:sz w:val="22"/>
        </w:rPr>
        <w:t>TXN guided Q3 revenue to $5.65–$6.15B (+21% YoY at midpoint), with "strong and broad" demand expected across industrial, data center, automotive, and personal electronics. Broad-based strength is a positive read-through for MPWR's diversified revenue base.</w:t>
      </w:r>
    </w:p>
    <w:p>
      <w:pPr>
        <w:pStyle w:val="Heading3"/>
      </w:pPr>
      <w:r>
        <w:rPr>
          <w:rFonts w:ascii="Calibri" w:hAnsi="Calibri"/>
          <w:b/>
          <w:color w:val="3B4259"/>
          <w:sz w:val="24"/>
        </w:rPr>
        <w:t>Analog Devices (ADI) — Q2 FY2026 Earnings Call (May 20, 2026)</w:t>
      </w:r>
    </w:p>
    <w:p>
      <w:r>
        <w:rPr>
          <w:rFonts w:ascii="Calibri" w:hAnsi="Calibri"/>
          <w:b/>
          <w:color w:val="525866"/>
          <w:sz w:val="22"/>
        </w:rPr>
        <w:t xml:space="preserve">Read-Through Signal: </w:t>
      </w:r>
      <w:r>
        <w:rPr>
          <w:rFonts w:ascii="Calibri" w:hAnsi="Calibri"/>
          <w:color w:val="525866"/>
          <w:sz w:val="22"/>
        </w:rPr>
        <w:t>Strongly Positive for MPWR</w:t>
      </w:r>
    </w:p>
    <w:p>
      <w:pPr>
        <w:pStyle w:val="ListBullet"/>
        <w:ind w:left="360" w:hanging="360"/>
      </w:pPr>
      <w:r>
        <w:rPr>
          <w:rFonts w:ascii="Calibri" w:hAnsi="Calibri"/>
          <w:b/>
          <w:color w:val="525866"/>
          <w:sz w:val="22"/>
        </w:rPr>
        <w:t xml:space="preserve">Record Revenue, All End Markets Beat: </w:t>
      </w:r>
      <w:r>
        <w:rPr>
          <w:rFonts w:ascii="Calibri" w:hAnsi="Calibri"/>
          <w:color w:val="525866"/>
          <w:sz w:val="22"/>
        </w:rPr>
        <w:t>ADI reported record Q2 revenue of $3.62B (+37% YoY), finishing above the high end of guidance, with management noting "record demand for our products and solutions" despite geopolitical tensions. Broad-based beat is a positive read-through for MPWR's diversified model.</w:t>
      </w:r>
    </w:p>
    <w:p>
      <w:pPr>
        <w:pStyle w:val="ListBullet"/>
        <w:ind w:left="360" w:hanging="360"/>
      </w:pPr>
      <w:r>
        <w:rPr>
          <w:rFonts w:ascii="Calibri" w:hAnsi="Calibri"/>
          <w:b/>
          <w:color w:val="525866"/>
          <w:sz w:val="22"/>
        </w:rPr>
        <w:t xml:space="preserve">Data Center Power Up &gt;90% YoY: </w:t>
      </w:r>
      <w:r>
        <w:rPr>
          <w:rFonts w:ascii="Calibri" w:hAnsi="Calibri"/>
          <w:color w:val="525866"/>
          <w:sz w:val="22"/>
        </w:rPr>
        <w:t>ADI's data center revenue (&gt;75% of Communications) was up more than 90% YoY, "driven by both our optical and power portfolios" with "similar growth rates across both." ADI called data center "the fastest growing sequentially" for Q3. This is a direct and highly positive read-through for MPWR's Enterprise Data and Communications segments.</w:t>
      </w:r>
    </w:p>
    <w:p>
      <w:pPr>
        <w:pStyle w:val="ListBullet"/>
        <w:ind w:left="360" w:hanging="360"/>
      </w:pPr>
      <w:r>
        <w:rPr>
          <w:rFonts w:ascii="Calibri" w:hAnsi="Calibri"/>
          <w:b/>
          <w:color w:val="525866"/>
          <w:sz w:val="22"/>
        </w:rPr>
        <w:t xml:space="preserve">ADI Acquiring Empower Semiconductor for Power Density: </w:t>
      </w:r>
      <w:r>
        <w:rPr>
          <w:rFonts w:ascii="Calibri" w:hAnsi="Calibri"/>
          <w:color w:val="525866"/>
          <w:sz w:val="22"/>
        </w:rPr>
        <w:t>ADI announced the acquisition of Empower Semiconductor to add integrated voltage regulator (IVR) technology, which "shrinks the power footprint by up to 4x" and "slashes data center compute power consumption by an estimated 10–15%." This signals the intensifying competitive landscape in data center power — relevant context for MPWR's module strategy.</w:t>
      </w:r>
    </w:p>
    <w:p>
      <w:pPr>
        <w:pStyle w:val="ListBullet"/>
        <w:ind w:left="360" w:hanging="360"/>
      </w:pPr>
      <w:r>
        <w:rPr>
          <w:rFonts w:ascii="Calibri" w:hAnsi="Calibri"/>
          <w:b/>
          <w:color w:val="525866"/>
          <w:sz w:val="22"/>
        </w:rPr>
        <w:t xml:space="preserve">Communications Up 79% YoY, Data Center Fastest Grower in Q3: </w:t>
      </w:r>
      <w:r>
        <w:rPr>
          <w:rFonts w:ascii="Calibri" w:hAnsi="Calibri"/>
          <w:color w:val="525866"/>
          <w:sz w:val="22"/>
        </w:rPr>
        <w:t>ADI's Communications segment grew 79% YoY and 22% sequentially, with data center expected to be the fastest-growing segment in Q3 (up low-to-mid teens sequentially). Strong optical and power demand is a direct positive read-through for MPWR's Communications segment.</w:t>
      </w:r>
    </w:p>
    <w:p>
      <w:pPr>
        <w:pStyle w:val="ListBullet"/>
        <w:ind w:left="360" w:hanging="360"/>
      </w:pPr>
      <w:r>
        <w:rPr>
          <w:rFonts w:ascii="Calibri" w:hAnsi="Calibri"/>
          <w:b/>
          <w:color w:val="525866"/>
          <w:sz w:val="22"/>
        </w:rPr>
        <w:t xml:space="preserve">Automotive BMS Returned to YoY Growth: </w:t>
      </w:r>
      <w:r>
        <w:rPr>
          <w:rFonts w:ascii="Calibri" w:hAnsi="Calibri"/>
          <w:color w:val="525866"/>
          <w:sz w:val="22"/>
        </w:rPr>
        <w:t>ADI's automotive BMS solutions returned to YoY growth for the first time in two years, led by a "material pickup in China." Positive read-through for MPWR's automotive segment recovery thesis.</w:t>
      </w:r>
    </w:p>
    <w:p>
      <w:pPr>
        <w:pStyle w:val="ListBullet"/>
        <w:ind w:left="360" w:hanging="360"/>
      </w:pPr>
      <w:r>
        <w:rPr>
          <w:rFonts w:ascii="Calibri" w:hAnsi="Calibri"/>
          <w:b/>
          <w:color w:val="525866"/>
          <w:sz w:val="22"/>
        </w:rPr>
        <w:t xml:space="preserve">Gross Margin at 73%, Q3 Guided ~50bps Lower: </w:t>
      </w:r>
      <w:r>
        <w:rPr>
          <w:rFonts w:ascii="Calibri" w:hAnsi="Calibri"/>
          <w:color w:val="525866"/>
          <w:sz w:val="22"/>
        </w:rPr>
        <w:t>ADI's gross margin expanded 360bps YoY to 73%, but guided Q3 ~50bps lower due to absence of a one-time channel repricing benefit. ADI noted "we don't see a ton of future upside on gross margin from utilization" — a cautionary note that may resonate with MPWR's own margin recovery timeline.</w:t>
      </w:r>
    </w:p>
    <w:p>
      <w:pPr>
        <w:pStyle w:val="Heading3"/>
      </w:pPr>
      <w:r>
        <w:rPr>
          <w:rFonts w:ascii="Calibri" w:hAnsi="Calibri"/>
          <w:b/>
          <w:color w:val="3B4259"/>
          <w:sz w:val="24"/>
        </w:rPr>
        <w:t>NXP Semiconductors (NXPI) — Q2 2026 Earnings Call (July 28, 2026)</w:t>
      </w:r>
    </w:p>
    <w:p>
      <w:r>
        <w:rPr>
          <w:rFonts w:ascii="Calibri" w:hAnsi="Calibri"/>
          <w:b/>
          <w:color w:val="525866"/>
          <w:sz w:val="22"/>
        </w:rPr>
        <w:t xml:space="preserve">Read-Through Signal: </w:t>
      </w:r>
      <w:r>
        <w:rPr>
          <w:rFonts w:ascii="Calibri" w:hAnsi="Calibri"/>
          <w:color w:val="525866"/>
          <w:sz w:val="22"/>
        </w:rPr>
        <w:t>Positive for MPWR (Automotive &amp; Communications)</w:t>
      </w:r>
    </w:p>
    <w:p>
      <w:pPr>
        <w:pStyle w:val="ListBullet"/>
        <w:ind w:left="360" w:hanging="360"/>
      </w:pPr>
      <w:r>
        <w:rPr>
          <w:rFonts w:ascii="Calibri" w:hAnsi="Calibri"/>
          <w:b/>
          <w:color w:val="525866"/>
          <w:sz w:val="22"/>
        </w:rPr>
        <w:t xml:space="preserve">Broad-Based Demand Acceleration: </w:t>
      </w:r>
      <w:r>
        <w:rPr>
          <w:rFonts w:ascii="Calibri" w:hAnsi="Calibri"/>
          <w:color w:val="525866"/>
          <w:sz w:val="22"/>
        </w:rPr>
        <w:t>NXPI reported Q2 revenue of $3.5B (+19% YoY), beating guidance across all end markets and regions. Book-to-bill above 1 and higher than the prior quarter, with customer escalations doubling since last quarter — indicating strong demand and tightening supply. Positive read-through for MPWR's broad-based demand narrative.</w:t>
      </w:r>
    </w:p>
    <w:p>
      <w:pPr>
        <w:pStyle w:val="ListBullet"/>
        <w:ind w:left="360" w:hanging="360"/>
      </w:pPr>
      <w:r>
        <w:rPr>
          <w:rFonts w:ascii="Calibri" w:hAnsi="Calibri"/>
          <w:b/>
          <w:color w:val="525866"/>
          <w:sz w:val="22"/>
        </w:rPr>
        <w:t xml:space="preserve">Automotive Up 17% YoY (Adj.), Content-Driven Not Restocking: </w:t>
      </w:r>
      <w:r>
        <w:rPr>
          <w:rFonts w:ascii="Calibri" w:hAnsi="Calibri"/>
          <w:color w:val="525866"/>
          <w:sz w:val="22"/>
        </w:rPr>
        <w:t>NXPI's automotive revenue grew 17% YoY (adjusted for MEMs sensor sale), with management explicitly stating "I don't think auto is about restocking... this is compounding on content." Current outperformance is happening "without our latest products" (S32N 5nm, S32K5), suggesting further runway. Positive for MPWR's automotive content expansion thesis.</w:t>
      </w:r>
    </w:p>
    <w:p>
      <w:pPr>
        <w:pStyle w:val="ListBullet"/>
        <w:ind w:left="360" w:hanging="360"/>
      </w:pPr>
      <w:r>
        <w:rPr>
          <w:rFonts w:ascii="Calibri" w:hAnsi="Calibri"/>
          <w:b/>
          <w:color w:val="525866"/>
          <w:sz w:val="22"/>
        </w:rPr>
        <w:t xml:space="preserve">Communications Infrastructure Up 41% YoY, Q3 Guided +50% YoY: </w:t>
      </w:r>
      <w:r>
        <w:rPr>
          <w:rFonts w:ascii="Calibri" w:hAnsi="Calibri"/>
          <w:color w:val="525866"/>
          <w:sz w:val="22"/>
        </w:rPr>
        <w:t>NXPI's communications infrastructure revenue grew 41% YoY, driven by digital networking and data center exposure. Q3 guidance calls for +50% YoY growth. Strong optical and networking demand is a direct positive read-through for MPWR's Communications segment.</w:t>
      </w:r>
    </w:p>
    <w:p>
      <w:pPr>
        <w:pStyle w:val="ListBullet"/>
        <w:ind w:left="360" w:hanging="360"/>
      </w:pPr>
      <w:r>
        <w:rPr>
          <w:rFonts w:ascii="Calibri" w:hAnsi="Calibri"/>
          <w:b/>
          <w:color w:val="525866"/>
          <w:sz w:val="22"/>
        </w:rPr>
        <w:t xml:space="preserve">Data Center Revenue to Exceed $500M in 2026 (from $200M in 2025): </w:t>
      </w:r>
      <w:r>
        <w:rPr>
          <w:rFonts w:ascii="Calibri" w:hAnsi="Calibri"/>
          <w:color w:val="525866"/>
          <w:sz w:val="22"/>
        </w:rPr>
        <w:t>NXPI quantified its data center exposure for the first time, expecting to exceed $500M in 2026 vs. $200M in 2025 (+150% growth). Physical AI design win funnel grew from $1B to $1.5B in one quarter. Confirms the data center power opportunity is large and accelerating.</w:t>
      </w:r>
    </w:p>
    <w:p>
      <w:pPr>
        <w:pStyle w:val="ListBullet"/>
        <w:ind w:left="360" w:hanging="360"/>
      </w:pPr>
      <w:r>
        <w:rPr>
          <w:rFonts w:ascii="Calibri" w:hAnsi="Calibri"/>
          <w:b/>
          <w:color w:val="525866"/>
          <w:sz w:val="22"/>
        </w:rPr>
        <w:t xml:space="preserve">Channel Inventory Stable at 11 Weeks (Target): </w:t>
      </w:r>
      <w:r>
        <w:rPr>
          <w:rFonts w:ascii="Calibri" w:hAnsi="Calibri"/>
          <w:color w:val="525866"/>
          <w:sz w:val="22"/>
        </w:rPr>
        <w:t>NXPI's channel inventory remained at 11 weeks (target range), with no restocking observed in automotive. "Inventory digestion is behind us" — a positive signal that demand is real end-demand, not channel fill.</w:t>
      </w:r>
    </w:p>
    <w:p>
      <w:pPr>
        <w:pStyle w:val="ListBullet"/>
        <w:ind w:left="360" w:hanging="360"/>
      </w:pPr>
      <w:r>
        <w:rPr>
          <w:rFonts w:ascii="Calibri" w:hAnsi="Calibri"/>
          <w:b/>
          <w:color w:val="525866"/>
          <w:sz w:val="22"/>
        </w:rPr>
        <w:t xml:space="preserve">2027 Outlook Intact ($16B Revenue, 60% Gross Margin): </w:t>
      </w:r>
      <w:r>
        <w:rPr>
          <w:rFonts w:ascii="Calibri" w:hAnsi="Calibri"/>
          <w:color w:val="525866"/>
          <w:sz w:val="22"/>
        </w:rPr>
        <w:t>NXPI reiterated confidence in its 2027 targets, with management noting "confidence has only increased." Utilization rates moving from low-80s to mid-80s expected to support H2 gross margin improvement — a framework that may apply to MPWR's own margin recovery path.</w:t>
      </w:r>
    </w:p>
    <w:p>
      <w:pPr>
        <w:pStyle w:val="Heading3"/>
      </w:pPr>
      <w:r>
        <w:rPr>
          <w:rFonts w:ascii="Calibri" w:hAnsi="Calibri"/>
          <w:b/>
          <w:color w:val="3B4259"/>
          <w:sz w:val="24"/>
        </w:rPr>
        <w:t>onsemi (ON) — Q1 2026 Earnings Call (May 4, 2026)</w:t>
      </w:r>
    </w:p>
    <w:p>
      <w:r>
        <w:rPr>
          <w:rFonts w:ascii="Calibri" w:hAnsi="Calibri"/>
          <w:b/>
          <w:color w:val="525866"/>
          <w:sz w:val="22"/>
        </w:rPr>
        <w:t xml:space="preserve">Read-Through Signal: </w:t>
      </w:r>
      <w:r>
        <w:rPr>
          <w:rFonts w:ascii="Calibri" w:hAnsi="Calibri"/>
          <w:color w:val="525866"/>
          <w:sz w:val="22"/>
        </w:rPr>
        <w:t>Positive for MPWR (Data Center Power, Automotive)</w:t>
      </w:r>
    </w:p>
    <w:p>
      <w:pPr>
        <w:pStyle w:val="ListBullet"/>
        <w:ind w:left="360" w:hanging="360"/>
      </w:pPr>
      <w:r>
        <w:rPr>
          <w:rFonts w:ascii="Calibri" w:hAnsi="Calibri"/>
          <w:b/>
          <w:color w:val="525866"/>
          <w:sz w:val="22"/>
        </w:rPr>
        <w:t xml:space="preserve">AI Data Center Revenue Growing &gt;30% QoQ, Expected to Double YoY in 2026: </w:t>
      </w:r>
      <w:r>
        <w:rPr>
          <w:rFonts w:ascii="Calibri" w:hAnsi="Calibri"/>
          <w:color w:val="525866"/>
          <w:sz w:val="22"/>
        </w:rPr>
        <w:t>ON's AI data center revenue grew more than 30% QoQ in Q1 2026, "nearly double our expected growth rate," driven by broader adoption across the power tree with multiple XPU vendors and all leading hyperscalers. ON now expects AI data center revenue to double YoY in 2026 (from $250M to ~$500M). This is a strong positive read-through for MPWR's Enterprise Data segment.</w:t>
      </w:r>
    </w:p>
    <w:p>
      <w:pPr>
        <w:pStyle w:val="ListBullet"/>
        <w:ind w:left="360" w:hanging="360"/>
      </w:pPr>
      <w:r>
        <w:rPr>
          <w:rFonts w:ascii="Calibri" w:hAnsi="Calibri"/>
          <w:b/>
          <w:color w:val="525866"/>
          <w:sz w:val="22"/>
        </w:rPr>
        <w:t xml:space="preserve">Full Power Tree Opportunity: </w:t>
      </w:r>
      <w:r>
        <w:rPr>
          <w:rFonts w:ascii="Calibri" w:hAnsi="Calibri"/>
          <w:color w:val="525866"/>
          <w:sz w:val="22"/>
        </w:rPr>
        <w:t>ON highlighted a 120kW rack at 800V could have $115,000 content vs. ~$9,500 today — a nearly 10x increase. This underscores the massive TAM expansion in data center power, directly relevant to MPWR's module and solutions strategy.</w:t>
      </w:r>
    </w:p>
    <w:p>
      <w:pPr>
        <w:pStyle w:val="ListBullet"/>
        <w:ind w:left="360" w:hanging="360"/>
      </w:pPr>
      <w:r>
        <w:rPr>
          <w:rFonts w:ascii="Calibri" w:hAnsi="Calibri"/>
          <w:b/>
          <w:color w:val="525866"/>
          <w:sz w:val="22"/>
        </w:rPr>
        <w:t xml:space="preserve">Automotive: First YoY Growth After 7 Quarters of Decline: </w:t>
      </w:r>
      <w:r>
        <w:rPr>
          <w:rFonts w:ascii="Calibri" w:hAnsi="Calibri"/>
          <w:color w:val="525866"/>
          <w:sz w:val="22"/>
        </w:rPr>
        <w:t>ON's automotive revenue grew nearly 5% YoY in Q1 2026, the first YoY growth after seven consecutive quarters of decline. China EV programs outperforming, with ON's SiC share at ~55% of new EV models at the 2026 Beijing Auto Show. Positive read-through for MPWR's automotive recovery thesis.</w:t>
      </w:r>
    </w:p>
    <w:p>
      <w:pPr>
        <w:pStyle w:val="ListBullet"/>
        <w:ind w:left="360" w:hanging="360"/>
      </w:pPr>
      <w:r>
        <w:rPr>
          <w:rFonts w:ascii="Calibri" w:hAnsi="Calibri"/>
          <w:b/>
          <w:color w:val="525866"/>
          <w:sz w:val="22"/>
        </w:rPr>
        <w:t xml:space="preserve">H2 2026 Expected to Outgrow H1 Meaningfully: </w:t>
      </w:r>
      <w:r>
        <w:rPr>
          <w:rFonts w:ascii="Calibri" w:hAnsi="Calibri"/>
          <w:color w:val="525866"/>
          <w:sz w:val="22"/>
        </w:rPr>
        <w:t>ON guided for H2 to "outgrow H1" driven by AI data center and automotive program ramps. This is consistent with MPWR's own guidance for automotive to ramp in H2 2026.</w:t>
      </w:r>
    </w:p>
    <w:p>
      <w:pPr>
        <w:pStyle w:val="ListBullet"/>
        <w:ind w:left="360" w:hanging="360"/>
      </w:pPr>
      <w:r>
        <w:rPr>
          <w:rFonts w:ascii="Calibri" w:hAnsi="Calibri"/>
          <w:b/>
          <w:color w:val="525866"/>
          <w:sz w:val="22"/>
        </w:rPr>
        <w:t xml:space="preserve">GaN Design Funnel Exceeds $1.5B: </w:t>
      </w:r>
      <w:r>
        <w:rPr>
          <w:rFonts w:ascii="Calibri" w:hAnsi="Calibri"/>
          <w:color w:val="525866"/>
          <w:sz w:val="22"/>
        </w:rPr>
        <w:t>ON's GaN solutions design funnel exceeds $1.5B, with revenue expected to start in 2027. MPWR is also developing GaN for lower-voltage segments — this confirms the technology is gaining traction across the industry.</w:t>
      </w:r>
    </w:p>
    <w:p>
      <w:pPr>
        <w:pStyle w:val="Heading3"/>
      </w:pPr>
      <w:r>
        <w:rPr>
          <w:rFonts w:ascii="Calibri" w:hAnsi="Calibri"/>
          <w:b/>
          <w:color w:val="3B4259"/>
          <w:sz w:val="24"/>
        </w:rPr>
        <w:t>Microchip Technology (MCHP) — Q4 FY2026 Earnings Call (May 7, 2026)</w:t>
      </w:r>
    </w:p>
    <w:p>
      <w:r>
        <w:rPr>
          <w:rFonts w:ascii="Calibri" w:hAnsi="Calibri"/>
          <w:b/>
          <w:color w:val="525866"/>
          <w:sz w:val="22"/>
        </w:rPr>
        <w:t xml:space="preserve">Read-Through Signal: </w:t>
      </w:r>
      <w:r>
        <w:rPr>
          <w:rFonts w:ascii="Calibri" w:hAnsi="Calibri"/>
          <w:color w:val="525866"/>
          <w:sz w:val="22"/>
        </w:rPr>
        <w:t>Moderately Positive for MPWR (Broad Recovery, Data Center)</w:t>
      </w:r>
    </w:p>
    <w:p>
      <w:pPr>
        <w:pStyle w:val="ListBullet"/>
        <w:ind w:left="360" w:hanging="360"/>
      </w:pPr>
      <w:r>
        <w:rPr>
          <w:rFonts w:ascii="Calibri" w:hAnsi="Calibri"/>
          <w:b/>
          <w:color w:val="525866"/>
          <w:sz w:val="22"/>
        </w:rPr>
        <w:t xml:space="preserve">Distribution Inventory Correction Complete, Restocking Beginning: </w:t>
      </w:r>
      <w:r>
        <w:rPr>
          <w:rFonts w:ascii="Calibri" w:hAnsi="Calibri"/>
          <w:color w:val="525866"/>
          <w:sz w:val="22"/>
        </w:rPr>
        <w:t>MCHP stated distribution inventory is "fully corrected actually to be below normal" with restocking orders beginning. Book-to-bill well above 1, and April was "the largest booking month in almost 4 years." This broad-based inventory normalization is a positive read-through for MPWR's channel inventory stability.</w:t>
      </w:r>
    </w:p>
    <w:p>
      <w:pPr>
        <w:pStyle w:val="ListBullet"/>
        <w:ind w:left="360" w:hanging="360"/>
      </w:pPr>
      <w:r>
        <w:rPr>
          <w:rFonts w:ascii="Calibri" w:hAnsi="Calibri"/>
          <w:b/>
          <w:color w:val="525866"/>
          <w:sz w:val="22"/>
        </w:rPr>
        <w:t xml:space="preserve">Data Center "Very Strong," Bottomed in June 2025: </w:t>
      </w:r>
      <w:r>
        <w:rPr>
          <w:rFonts w:ascii="Calibri" w:hAnsi="Calibri"/>
          <w:color w:val="525866"/>
          <w:sz w:val="22"/>
        </w:rPr>
        <w:t>MCHP's data center business "bottomed out in the June quarter of last year" and has seen "significant growth since then." MCHP expects "strong growth from data center" in the June quarter (Q2 2026). Positive read-through for MPWR's Enterprise Data momentum.</w:t>
      </w:r>
    </w:p>
    <w:p>
      <w:pPr>
        <w:pStyle w:val="ListBullet"/>
        <w:ind w:left="360" w:hanging="360"/>
      </w:pPr>
      <w:r>
        <w:rPr>
          <w:rFonts w:ascii="Calibri" w:hAnsi="Calibri"/>
          <w:b/>
          <w:color w:val="525866"/>
          <w:sz w:val="22"/>
        </w:rPr>
        <w:t xml:space="preserve">Digital Power Control for Data Centers Growing Rapidly: </w:t>
      </w:r>
      <w:r>
        <w:rPr>
          <w:rFonts w:ascii="Calibri" w:hAnsi="Calibri"/>
          <w:color w:val="525866"/>
          <w:sz w:val="22"/>
        </w:rPr>
        <w:t>MCHP highlighted "high growth in our digital power control for many of the power supplies that exist within data centers" — a direct read-through to MPWR's power management solutions for data center applications.</w:t>
      </w:r>
    </w:p>
    <w:p>
      <w:pPr>
        <w:pStyle w:val="ListBullet"/>
        <w:ind w:left="360" w:hanging="360"/>
      </w:pPr>
      <w:r>
        <w:rPr>
          <w:rFonts w:ascii="Calibri" w:hAnsi="Calibri"/>
          <w:b/>
          <w:color w:val="525866"/>
          <w:sz w:val="22"/>
        </w:rPr>
        <w:t xml:space="preserve">Lead Times Increasing, Customer Expedites Surging: </w:t>
      </w:r>
      <w:r>
        <w:rPr>
          <w:rFonts w:ascii="Calibri" w:hAnsi="Calibri"/>
          <w:color w:val="525866"/>
          <w:sz w:val="22"/>
        </w:rPr>
        <w:t>MCHP noted lead times increasing on many products (from 4–8 weeks) due to substrate, subcontracting, and foundry constraints, with customer expedite requests "significantly increased." This tightening supply environment is consistent with MPWR's extended backlog visibility and supports pricing power.</w:t>
      </w:r>
    </w:p>
    <w:p>
      <w:pPr>
        <w:pStyle w:val="ListBullet"/>
        <w:ind w:left="360" w:hanging="360"/>
      </w:pPr>
      <w:r>
        <w:rPr>
          <w:rFonts w:ascii="Calibri" w:hAnsi="Calibri"/>
          <w:b/>
          <w:color w:val="525866"/>
          <w:sz w:val="22"/>
        </w:rPr>
        <w:t xml:space="preserve">Pricing: Not Raising Broadly, Gaining Share from Competitors Who Are: </w:t>
      </w:r>
      <w:r>
        <w:rPr>
          <w:rFonts w:ascii="Calibri" w:hAnsi="Calibri"/>
          <w:color w:val="525866"/>
          <w:sz w:val="22"/>
        </w:rPr>
        <w:t>MCHP is deliberately not raising prices broadly, gaining market share from competitors who are. This is a different strategy from TXN and ADI, but the overall industry pricing environment is firming — relevant context for MPWR's gross margin recovery.</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Date</w:t>
            </w:r>
          </w:p>
        </w:tc>
        <w:tc>
          <w:tcPr>
            <w:tcW w:type="dxa" w:w="1728"/>
            <w:shd w:val="clear" w:color="auto" w:fill="3B4259"/>
          </w:tcPr>
          <w:p>
            <w:r>
              <w:rPr>
                <w:rFonts w:ascii="Calibri" w:hAnsi="Calibri"/>
                <w:b/>
                <w:color w:val="FFFFFF"/>
                <w:sz w:val="22"/>
              </w:rPr>
              <w:t>MPWR Segment Relevance</w:t>
            </w:r>
          </w:p>
        </w:tc>
        <w:tc>
          <w:tcPr>
            <w:tcW w:type="dxa" w:w="1728"/>
            <w:shd w:val="clear" w:color="auto" w:fill="3B4259"/>
          </w:tcPr>
          <w:p>
            <w:r>
              <w:rPr>
                <w:rFonts w:ascii="Calibri" w:hAnsi="Calibri"/>
                <w:b/>
                <w:color w:val="FFFFFF"/>
                <w:sz w:val="22"/>
              </w:rPr>
              <w:t>Read-Through Signal</w:t>
            </w:r>
          </w:p>
        </w:tc>
        <w:tc>
          <w:tcPr>
            <w:tcW w:type="dxa" w:w="1728"/>
            <w:shd w:val="clear" w:color="auto" w:fill="3B4259"/>
          </w:tcPr>
          <w:p>
            <w:r>
              <w:rPr>
                <w:rFonts w:ascii="Calibri" w:hAnsi="Calibri"/>
                <w:b/>
                <w:color w:val="FFFFFF"/>
                <w:sz w:val="22"/>
              </w:rPr>
              <w:t>Key Takeaway for MPWR</w:t>
            </w:r>
          </w:p>
        </w:tc>
      </w:tr>
      <w:tr>
        <w:tc>
          <w:tcPr>
            <w:tcW w:type="dxa" w:w="1728"/>
          </w:tcPr>
          <w:p>
            <w:r>
              <w:rPr>
                <w:rFonts w:ascii="Calibri" w:hAnsi="Calibri"/>
                <w:sz w:val="22"/>
              </w:rPr>
              <w:t>TXN</w:t>
            </w:r>
          </w:p>
        </w:tc>
        <w:tc>
          <w:tcPr>
            <w:tcW w:type="dxa" w:w="1728"/>
          </w:tcPr>
          <w:p>
            <w:r>
              <w:rPr>
                <w:rFonts w:ascii="Calibri" w:hAnsi="Calibri"/>
                <w:sz w:val="22"/>
              </w:rPr>
              <w:t>Jul 22, 2026 (Q2 2026)</w:t>
            </w:r>
          </w:p>
        </w:tc>
        <w:tc>
          <w:tcPr>
            <w:tcW w:type="dxa" w:w="1728"/>
          </w:tcPr>
          <w:p>
            <w:r>
              <w:rPr>
                <w:rFonts w:ascii="Calibri" w:hAnsi="Calibri"/>
                <w:sz w:val="22"/>
              </w:rPr>
              <w:t>Enterprise Data, Automotive, Industrial</w:t>
            </w:r>
          </w:p>
        </w:tc>
        <w:tc>
          <w:tcPr>
            <w:tcW w:type="dxa" w:w="1728"/>
          </w:tcPr>
          <w:p>
            <w:r>
              <w:rPr>
                <w:rFonts w:ascii="Calibri" w:hAnsi="Calibri"/>
                <w:b/>
                <w:color w:val="30A46C"/>
                <w:sz w:val="22"/>
              </w:rPr>
              <w:t>Strongly Positive</w:t>
            </w:r>
          </w:p>
        </w:tc>
        <w:tc>
          <w:tcPr>
            <w:tcW w:type="dxa" w:w="1728"/>
          </w:tcPr>
          <w:p>
            <w:r>
              <w:rPr>
                <w:rFonts w:ascii="Calibri" w:hAnsi="Calibri"/>
                <w:sz w:val="22"/>
              </w:rPr>
              <w:t>Data center doubled YoY; auto "start of a broad cycle"; industrial +30% YoY</w:t>
            </w:r>
          </w:p>
        </w:tc>
      </w:tr>
      <w:tr>
        <w:tc>
          <w:tcPr>
            <w:tcW w:type="dxa" w:w="1728"/>
          </w:tcPr>
          <w:p>
            <w:r>
              <w:rPr>
                <w:rFonts w:ascii="Calibri" w:hAnsi="Calibri"/>
                <w:sz w:val="22"/>
              </w:rPr>
              <w:t>ADI</w:t>
            </w:r>
          </w:p>
        </w:tc>
        <w:tc>
          <w:tcPr>
            <w:tcW w:type="dxa" w:w="1728"/>
          </w:tcPr>
          <w:p>
            <w:r>
              <w:rPr>
                <w:rFonts w:ascii="Calibri" w:hAnsi="Calibri"/>
                <w:sz w:val="22"/>
              </w:rPr>
              <w:t>May 20, 2026 (Q2 FY2026)</w:t>
            </w:r>
          </w:p>
        </w:tc>
        <w:tc>
          <w:tcPr>
            <w:tcW w:type="dxa" w:w="1728"/>
          </w:tcPr>
          <w:p>
            <w:r>
              <w:rPr>
                <w:rFonts w:ascii="Calibri" w:hAnsi="Calibri"/>
                <w:sz w:val="22"/>
              </w:rPr>
              <w:t>Enterprise Data, Communications, Automotive</w:t>
            </w:r>
          </w:p>
        </w:tc>
        <w:tc>
          <w:tcPr>
            <w:tcW w:type="dxa" w:w="1728"/>
          </w:tcPr>
          <w:p>
            <w:r>
              <w:rPr>
                <w:rFonts w:ascii="Calibri" w:hAnsi="Calibri"/>
                <w:b/>
                <w:color w:val="30A46C"/>
                <w:sz w:val="22"/>
              </w:rPr>
              <w:t>Strongly Positive</w:t>
            </w:r>
          </w:p>
        </w:tc>
        <w:tc>
          <w:tcPr>
            <w:tcW w:type="dxa" w:w="1728"/>
          </w:tcPr>
          <w:p>
            <w:r>
              <w:rPr>
                <w:rFonts w:ascii="Calibri" w:hAnsi="Calibri"/>
                <w:sz w:val="22"/>
              </w:rPr>
              <w:t>Data center power +90% YoY; comms +79% YoY; optical fastest grower in Q3</w:t>
            </w:r>
          </w:p>
        </w:tc>
      </w:tr>
      <w:tr>
        <w:tc>
          <w:tcPr>
            <w:tcW w:type="dxa" w:w="1728"/>
          </w:tcPr>
          <w:p>
            <w:r>
              <w:rPr>
                <w:rFonts w:ascii="Calibri" w:hAnsi="Calibri"/>
                <w:sz w:val="22"/>
              </w:rPr>
              <w:t>NXPI</w:t>
            </w:r>
          </w:p>
        </w:tc>
        <w:tc>
          <w:tcPr>
            <w:tcW w:type="dxa" w:w="1728"/>
          </w:tcPr>
          <w:p>
            <w:r>
              <w:rPr>
                <w:rFonts w:ascii="Calibri" w:hAnsi="Calibri"/>
                <w:sz w:val="22"/>
              </w:rPr>
              <w:t>Jul 28, 2026 (Q2 2026)</w:t>
            </w:r>
          </w:p>
        </w:tc>
        <w:tc>
          <w:tcPr>
            <w:tcW w:type="dxa" w:w="1728"/>
          </w:tcPr>
          <w:p>
            <w:r>
              <w:rPr>
                <w:rFonts w:ascii="Calibri" w:hAnsi="Calibri"/>
                <w:sz w:val="22"/>
              </w:rPr>
              <w:t>Automotive, Communications, Data Center</w:t>
            </w:r>
          </w:p>
        </w:tc>
        <w:tc>
          <w:tcPr>
            <w:tcW w:type="dxa" w:w="1728"/>
          </w:tcPr>
          <w:p>
            <w:r>
              <w:rPr>
                <w:rFonts w:ascii="Calibri" w:hAnsi="Calibri"/>
                <w:b/>
                <w:color w:val="30A46C"/>
                <w:sz w:val="22"/>
              </w:rPr>
              <w:t>Positive</w:t>
            </w:r>
          </w:p>
        </w:tc>
        <w:tc>
          <w:tcPr>
            <w:tcW w:type="dxa" w:w="1728"/>
          </w:tcPr>
          <w:p>
            <w:r>
              <w:rPr>
                <w:rFonts w:ascii="Calibri" w:hAnsi="Calibri"/>
                <w:sz w:val="22"/>
              </w:rPr>
              <w:t>Auto content-driven (not restocking); comms +41% YoY; data center to exceed $500M in 2026</w:t>
            </w:r>
          </w:p>
        </w:tc>
      </w:tr>
      <w:tr>
        <w:tc>
          <w:tcPr>
            <w:tcW w:type="dxa" w:w="1728"/>
          </w:tcPr>
          <w:p>
            <w:r>
              <w:rPr>
                <w:rFonts w:ascii="Calibri" w:hAnsi="Calibri"/>
                <w:sz w:val="22"/>
              </w:rPr>
              <w:t>ON</w:t>
            </w:r>
          </w:p>
        </w:tc>
        <w:tc>
          <w:tcPr>
            <w:tcW w:type="dxa" w:w="1728"/>
          </w:tcPr>
          <w:p>
            <w:r>
              <w:rPr>
                <w:rFonts w:ascii="Calibri" w:hAnsi="Calibri"/>
                <w:sz w:val="22"/>
              </w:rPr>
              <w:t>May 4, 2026 (Q1 2026)</w:t>
            </w:r>
          </w:p>
        </w:tc>
        <w:tc>
          <w:tcPr>
            <w:tcW w:type="dxa" w:w="1728"/>
          </w:tcPr>
          <w:p>
            <w:r>
              <w:rPr>
                <w:rFonts w:ascii="Calibri" w:hAnsi="Calibri"/>
                <w:sz w:val="22"/>
              </w:rPr>
              <w:t>Enterprise Data, Automotive</w:t>
            </w:r>
          </w:p>
        </w:tc>
        <w:tc>
          <w:tcPr>
            <w:tcW w:type="dxa" w:w="1728"/>
          </w:tcPr>
          <w:p>
            <w:r>
              <w:rPr>
                <w:rFonts w:ascii="Calibri" w:hAnsi="Calibri"/>
                <w:b/>
                <w:color w:val="30A46C"/>
                <w:sz w:val="22"/>
              </w:rPr>
              <w:t>Positive</w:t>
            </w:r>
          </w:p>
        </w:tc>
        <w:tc>
          <w:tcPr>
            <w:tcW w:type="dxa" w:w="1728"/>
          </w:tcPr>
          <w:p>
            <w:r>
              <w:rPr>
                <w:rFonts w:ascii="Calibri" w:hAnsi="Calibri"/>
                <w:sz w:val="22"/>
              </w:rPr>
              <w:t>AI data center +30% QoQ; auto first YoY growth in 7 quarters; H2 to outgrow H1</w:t>
            </w:r>
          </w:p>
        </w:tc>
      </w:tr>
      <w:tr>
        <w:tc>
          <w:tcPr>
            <w:tcW w:type="dxa" w:w="1728"/>
          </w:tcPr>
          <w:p>
            <w:r>
              <w:rPr>
                <w:rFonts w:ascii="Calibri" w:hAnsi="Calibri"/>
                <w:sz w:val="22"/>
              </w:rPr>
              <w:t>MCHP</w:t>
            </w:r>
          </w:p>
        </w:tc>
        <w:tc>
          <w:tcPr>
            <w:tcW w:type="dxa" w:w="1728"/>
          </w:tcPr>
          <w:p>
            <w:r>
              <w:rPr>
                <w:rFonts w:ascii="Calibri" w:hAnsi="Calibri"/>
                <w:sz w:val="22"/>
              </w:rPr>
              <w:t>May 7, 2026 (Q4 FY2026)</w:t>
            </w:r>
          </w:p>
        </w:tc>
        <w:tc>
          <w:tcPr>
            <w:tcW w:type="dxa" w:w="1728"/>
          </w:tcPr>
          <w:p>
            <w:r>
              <w:rPr>
                <w:rFonts w:ascii="Calibri" w:hAnsi="Calibri"/>
                <w:sz w:val="22"/>
              </w:rPr>
              <w:t>Data Center, Industrial, Channel</w:t>
            </w:r>
          </w:p>
        </w:tc>
        <w:tc>
          <w:tcPr>
            <w:tcW w:type="dxa" w:w="1728"/>
          </w:tcPr>
          <w:p>
            <w:r>
              <w:rPr>
                <w:rFonts w:ascii="Calibri" w:hAnsi="Calibri"/>
                <w:b/>
                <w:color w:val="30A46C"/>
                <w:sz w:val="22"/>
              </w:rPr>
              <w:t>Moderately Positive</w:t>
            </w:r>
          </w:p>
        </w:tc>
        <w:tc>
          <w:tcPr>
            <w:tcW w:type="dxa" w:w="1728"/>
          </w:tcPr>
          <w:p>
            <w:r>
              <w:rPr>
                <w:rFonts w:ascii="Calibri" w:hAnsi="Calibri"/>
                <w:sz w:val="22"/>
              </w:rPr>
              <w:t>Distribution inventory correction complete; data center "very strong"; lead times rising</w:t>
            </w:r>
          </w:p>
        </w:tc>
      </w:tr>
    </w:tbl>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2026 earnings is the </w:t>
      </w:r>
      <w:r>
        <w:rPr>
          <w:rFonts w:ascii="Calibri" w:hAnsi="Calibri"/>
          <w:b/>
          <w:color w:val="525866"/>
          <w:sz w:val="22"/>
        </w:rPr>
        <w:t>28% dividend increase declared June 12</w:t>
      </w:r>
      <w:r>
        <w:rPr>
          <w:rFonts w:ascii="Calibri" w:hAnsi="Calibri"/>
          <w:color w:val="525866"/>
          <w:sz w:val="22"/>
        </w:rPr>
        <w:t>, signaling management confidence in cash generation, though it provided no stock support. The broader context is a semiconductor upcycle that is accelerating across peers, validating MPWR's Enterprise Data and Communications growth thesis heading into Q2 results.</w:t>
      </w:r>
    </w:p>
    <w:p>
      <w:pPr>
        <w:pStyle w:val="ListBullet"/>
        <w:ind w:left="360" w:hanging="360"/>
      </w:pPr>
      <w:r>
        <w:rPr>
          <w:rFonts w:ascii="Calibri" w:hAnsi="Calibri"/>
          <w:b/>
          <w:color w:val="525866"/>
          <w:sz w:val="22"/>
        </w:rPr>
        <w:t xml:space="preserve">Jun 12, 2026 — Dividend Raised 28% to $2.00/Share (8-K): </w:t>
      </w:r>
      <w:r>
        <w:rPr>
          <w:rFonts w:ascii="Calibri" w:hAnsi="Calibri"/>
          <w:color w:val="525866"/>
          <w:sz w:val="22"/>
        </w:rPr>
        <w:t>MPWR declared a quarterly cash dividend of $2.00 per share, up from the prior level, alongside shareholder approval of all proposals at the annual meeting. Implication: Management confidence in free cash flow generation is high; however, the stock did not react positively, suggesting the market is focused on growth and margin rather than capital return.</w:t>
      </w:r>
    </w:p>
    <w:p>
      <w:pPr>
        <w:pStyle w:val="ListBullet"/>
        <w:ind w:left="360" w:hanging="360"/>
      </w:pPr>
      <w:r>
        <w:rPr>
          <w:rFonts w:ascii="Calibri" w:hAnsi="Calibri"/>
          <w:b/>
          <w:color w:val="525866"/>
          <w:sz w:val="22"/>
        </w:rPr>
        <w:t xml:space="preserve">Jul 14, 2026 — Q2 2026 Earnings Date Confirmed (Press Release): </w:t>
      </w:r>
      <w:r>
        <w:rPr>
          <w:rFonts w:ascii="Calibri" w:hAnsi="Calibri"/>
          <w:color w:val="525866"/>
          <w:sz w:val="22"/>
        </w:rPr>
        <w:t>MPWR confirmed it will report Q2 2026 results on July 30, 2026. No pre-announcement or guidance update was included, which is a neutral signal — no negative pre-announcement is a mild positive.</w:t>
      </w:r>
    </w:p>
    <w:p>
      <w:pPr>
        <w:pStyle w:val="ListBullet"/>
        <w:ind w:left="360" w:hanging="360"/>
      </w:pPr>
      <w:r>
        <w:rPr>
          <w:rFonts w:ascii="Calibri" w:hAnsi="Calibri"/>
          <w:b/>
          <w:color w:val="525866"/>
          <w:sz w:val="22"/>
        </w:rPr>
        <w:t xml:space="preserve">Jul 22, 2026 — TXN Q2 2026 Earnings: Data Center Doubled YoY, Broad Demand Strength: </w:t>
      </w:r>
      <w:r>
        <w:rPr>
          <w:rFonts w:ascii="Calibri" w:hAnsi="Calibri"/>
          <w:color w:val="525866"/>
          <w:sz w:val="22"/>
        </w:rPr>
        <w:t>Texas Instruments reported data center revenue doubled YoY and guided Q3 revenue to $5.65–$6.15B. Implication: Strongest peer read-through for MPWR's Enterprise Data segment; confirms the data center power demand cycle is intact and accelerating.</w:t>
      </w:r>
    </w:p>
    <w:p>
      <w:pPr>
        <w:pStyle w:val="ListBullet"/>
        <w:ind w:left="360" w:hanging="360"/>
      </w:pPr>
      <w:r>
        <w:rPr>
          <w:rFonts w:ascii="Calibri" w:hAnsi="Calibri"/>
          <w:b/>
          <w:color w:val="525866"/>
          <w:sz w:val="22"/>
        </w:rPr>
        <w:t xml:space="preserve">Jul 28, 2026 — NXPI Q2 2026 Earnings: Automotive Content-Driven, Communications +41% YoY: </w:t>
      </w:r>
      <w:r>
        <w:rPr>
          <w:rFonts w:ascii="Calibri" w:hAnsi="Calibri"/>
          <w:color w:val="525866"/>
          <w:sz w:val="22"/>
        </w:rPr>
        <w:t>NXP reported Q2 revenue of $3.5B (+19% YoY), beating across all segments, with automotive up 17% YoY (content-driven) and communications infrastructure up 41% YoY. Implication: Validates MPWR's automotive content expansion thesis and Communications growth trajectory.</w:t>
      </w:r>
    </w:p>
    <w:p>
      <w:pPr>
        <w:pStyle w:val="ListBullet"/>
        <w:ind w:left="360" w:hanging="360"/>
      </w:pPr>
      <w:r>
        <w:rPr>
          <w:rFonts w:ascii="Calibri" w:hAnsi="Calibri"/>
          <w:b/>
          <w:color w:val="525866"/>
          <w:sz w:val="22"/>
        </w:rPr>
        <w:t xml:space="preserve">May 20, 2026 — ADI Q2 FY2026 Earnings: Record Revenue, Data Center Power +90% YoY: </w:t>
      </w:r>
      <w:r>
        <w:rPr>
          <w:rFonts w:ascii="Calibri" w:hAnsi="Calibri"/>
          <w:color w:val="525866"/>
          <w:sz w:val="22"/>
        </w:rPr>
        <w:t>Analog Devices reported record revenue of $3.62B (+37% YoY), with data center power up more than 90% YoY. ADI also announced the acquisition of Empower Semiconductor for IVR technology. Implication: Confirms the data center power opportunity is large and competitive; ADI's IVR acquisition signals the market is moving toward higher-integration power solutions, consistent with MPWR's module strategy.</w:t>
      </w:r>
    </w:p>
    <w:p>
      <w:pPr>
        <w:pStyle w:val="ListBullet"/>
        <w:ind w:left="360" w:hanging="360"/>
      </w:pPr>
      <w:r>
        <w:rPr>
          <w:rFonts w:ascii="Calibri" w:hAnsi="Calibri"/>
          <w:b/>
          <w:color w:val="525866"/>
          <w:sz w:val="22"/>
        </w:rPr>
        <w:t xml:space="preserve">May 7, 2026 — MCHP Q4 FY2026 Earnings: Distribution Inventory Correction Complete: </w:t>
      </w:r>
      <w:r>
        <w:rPr>
          <w:rFonts w:ascii="Calibri" w:hAnsi="Calibri"/>
          <w:color w:val="525866"/>
          <w:sz w:val="22"/>
        </w:rPr>
        <w:t>Microchip Technology reported distribution inventory is "fully corrected to below normal" with restocking beginning. April was the largest booking month in nearly 4 years. Implication: Broad-based semiconductor demand recovery is real and accelerating, supporting MPWR's channel inventory stability narrative.</w:t>
      </w:r>
    </w:p>
    <w:p>
      <w:pPr>
        <w:pStyle w:val="ListBullet"/>
        <w:ind w:left="360" w:hanging="360"/>
      </w:pPr>
      <w:r>
        <w:rPr>
          <w:rFonts w:ascii="Calibri" w:hAnsi="Calibri"/>
          <w:b/>
          <w:color w:val="525866"/>
          <w:sz w:val="22"/>
        </w:rPr>
        <w:t xml:space="preserve">May 4, 2026 — ON Q1 2026 Earnings: AI Data Center +30% QoQ, First Auto YoY Growth in 7 Quarters: </w:t>
      </w:r>
      <w:r>
        <w:rPr>
          <w:rFonts w:ascii="Calibri" w:hAnsi="Calibri"/>
          <w:color w:val="525866"/>
          <w:sz w:val="22"/>
        </w:rPr>
        <w:t>onsemi reported AI data center revenue grew more than 30% QoQ and now expects it to double YoY in 2026. Automotive returned to YoY growth for the first time in seven quarters. Implication: Dual positive read-through for MPWR's two largest growth segments.</w:t>
      </w:r>
    </w:p>
    <w:p>
      <w:pPr>
        <w:pStyle w:val="ListBullet"/>
        <w:ind w:left="360" w:hanging="360"/>
      </w:pPr>
      <w:r>
        <w:rPr>
          <w:rFonts w:ascii="Calibri" w:hAnsi="Calibri"/>
          <w:b/>
          <w:color w:val="525866"/>
          <w:sz w:val="22"/>
        </w:rPr>
        <w:t xml:space="preserve">Apr 30, 2026 — Q1 2026 Earnings Beat; Enterprise Data Growth Floor Raised to ~85% YoY: </w:t>
      </w:r>
      <w:r>
        <w:rPr>
          <w:rFonts w:ascii="Calibri" w:hAnsi="Calibri"/>
          <w:color w:val="525866"/>
          <w:sz w:val="22"/>
        </w:rPr>
        <w:t>MPWR reported record Q1 revenue of $804.2M (+26% YoY), beating consensus of $782M. Enterprise Data nearly doubled YoY. Management raised the FY 2026 Enterprise Data growth floor from ~50% to ~85% YoY and raised manufacturing capacity target to $6B. Implication: The most important catalyst of the period; sets the bar for Q2 2026 and establishes the growth narrative.</w:t>
      </w:r>
    </w:p>
    <w:p>
      <w:pPr>
        <w:pStyle w:val="ListBullet"/>
        <w:ind w:left="360" w:hanging="360"/>
      </w:pPr>
      <w:r>
        <w:rPr>
          <w:rFonts w:ascii="Calibri" w:hAnsi="Calibri"/>
          <w:b/>
          <w:color w:val="525866"/>
          <w:sz w:val="22"/>
        </w:rPr>
        <w:t xml:space="preserve">Feb 27, 2026 — MPWR to Restate Prior Financials Over Deferred Tax Accounting Error (8-K): </w:t>
      </w:r>
      <w:r>
        <w:rPr>
          <w:rFonts w:ascii="Calibri" w:hAnsi="Calibri"/>
          <w:color w:val="525866"/>
          <w:sz w:val="22"/>
        </w:rPr>
        <w:t>MPWR disclosed it would restate prior financial statements due to a deferred tax accounting error. Implication: Non-cash, non-operational issue; no impact on business fundamentals, but added noise to the stock in early 2026. Now resolved and no longer a near-term overhang.</w:t>
      </w:r>
    </w:p>
    <w:p>
      <w:pPr>
        <w:pStyle w:val="ListBullet"/>
        <w:ind w:left="360" w:hanging="360"/>
      </w:pPr>
      <w:r>
        <w:rPr>
          <w:rFonts w:ascii="Calibri" w:hAnsi="Calibri"/>
          <w:b/>
          <w:color w:val="525866"/>
          <w:sz w:val="22"/>
        </w:rPr>
        <w:t xml:space="preserve">Ongoing — CFO Transition: Bernie Blegen Retired, Rob Dean Serving as Interim CFO: </w:t>
      </w:r>
      <w:r>
        <w:rPr>
          <w:rFonts w:ascii="Calibri" w:hAnsi="Calibri"/>
          <w:color w:val="525866"/>
          <w:sz w:val="22"/>
        </w:rPr>
        <w:t>The CFO transition remains an open item. Implication: Investor relations continuity risk; a permanent CFO appointment would be a positive catalyst. No update has been provided since the transition was announced.</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2026 earnings is dominated by </w:t>
      </w:r>
      <w:r>
        <w:rPr>
          <w:rFonts w:ascii="Calibri" w:hAnsi="Calibri"/>
          <w:b/>
          <w:color w:val="525866"/>
          <w:sz w:val="22"/>
        </w:rPr>
        <w:t>open-market and discretionary sales</w:t>
      </w:r>
      <w:r>
        <w:rPr>
          <w:rFonts w:ascii="Calibri" w:hAnsi="Calibri"/>
          <w:color w:val="525866"/>
          <w:sz w:val="22"/>
        </w:rPr>
        <w:t xml:space="preserve">, with no open-market buys. The most notable transaction is CEO Michael Hsing's </w:t>
      </w:r>
      <w:r>
        <w:rPr>
          <w:rFonts w:ascii="Calibri" w:hAnsi="Calibri"/>
          <w:b/>
          <w:color w:val="525866"/>
          <w:sz w:val="22"/>
        </w:rPr>
        <w:t>40,000-share open-market sale on May 18 (~$65.6M at ~$1,640/share)</w:t>
      </w:r>
      <w:r>
        <w:rPr>
          <w:rFonts w:ascii="Calibri" w:hAnsi="Calibri"/>
          <w:color w:val="525866"/>
          <w:sz w:val="22"/>
        </w:rPr>
        <w:t xml:space="preserve"> — a discretionary sale (not 10b5-1) that is worth flagging, though Hsing retains a very large position (~848K shares). EVP Xiao Deming also sold 30,000 shares (~$49.2M) on May 6. The volume of discretionary sales near the post-earnings high is a mild cautionary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Hsing Michael</w:t>
            </w:r>
          </w:p>
        </w:tc>
        <w:tc>
          <w:tcPr>
            <w:tcW w:type="dxa" w:w="1440"/>
          </w:tcPr>
          <w:p>
            <w:r>
              <w:rPr>
                <w:rFonts w:ascii="Calibri" w:hAnsi="Calibri"/>
                <w:sz w:val="22"/>
              </w:rPr>
              <w:t>CEO, Director</w:t>
            </w:r>
          </w:p>
        </w:tc>
        <w:tc>
          <w:tcPr>
            <w:tcW w:type="dxa" w:w="1440"/>
          </w:tcPr>
          <w:p>
            <w:r>
              <w:rPr>
                <w:rFonts w:ascii="Calibri" w:hAnsi="Calibri"/>
                <w:sz w:val="22"/>
              </w:rPr>
              <w:t>Open Market Sale</w:t>
            </w:r>
          </w:p>
        </w:tc>
        <w:tc>
          <w:tcPr>
            <w:tcW w:type="dxa" w:w="1440"/>
          </w:tcPr>
          <w:p>
            <w:r>
              <w:rPr>
                <w:rFonts w:ascii="Calibri" w:hAnsi="Calibri"/>
                <w:sz w:val="22"/>
              </w:rPr>
              <w:t>40,000</w:t>
            </w:r>
          </w:p>
        </w:tc>
        <w:tc>
          <w:tcPr>
            <w:tcW w:type="dxa" w:w="1440"/>
          </w:tcPr>
          <w:p>
            <w:r>
              <w:rPr>
                <w:rFonts w:ascii="Calibri" w:hAnsi="Calibri"/>
                <w:sz w:val="22"/>
              </w:rPr>
              <w:t>May 18, 2026</w:t>
            </w:r>
          </w:p>
        </w:tc>
        <w:tc>
          <w:tcPr>
            <w:tcW w:type="dxa" w:w="1440"/>
          </w:tcPr>
          <w:p>
            <w:r>
              <w:rPr>
                <w:rFonts w:ascii="Calibri" w:hAnsi="Calibri"/>
                <w:sz w:val="22"/>
              </w:rPr>
              <w:t>Discretionary (not 10b5-1); retains ~848K shares; sold near post-earnings high</w:t>
            </w:r>
          </w:p>
        </w:tc>
      </w:tr>
      <w:tr>
        <w:tc>
          <w:tcPr>
            <w:tcW w:type="dxa" w:w="1440"/>
          </w:tcPr>
          <w:p>
            <w:r>
              <w:rPr>
                <w:rFonts w:ascii="Calibri" w:hAnsi="Calibri"/>
                <w:sz w:val="22"/>
              </w:rPr>
              <w:t>Xiao Deming</w:t>
            </w:r>
          </w:p>
        </w:tc>
        <w:tc>
          <w:tcPr>
            <w:tcW w:type="dxa" w:w="1440"/>
          </w:tcPr>
          <w:p>
            <w:r>
              <w:rPr>
                <w:rFonts w:ascii="Calibri" w:hAnsi="Calibri"/>
                <w:sz w:val="22"/>
              </w:rPr>
              <w:t>EVP, Global Operations</w:t>
            </w:r>
          </w:p>
        </w:tc>
        <w:tc>
          <w:tcPr>
            <w:tcW w:type="dxa" w:w="1440"/>
          </w:tcPr>
          <w:p>
            <w:r>
              <w:rPr>
                <w:rFonts w:ascii="Calibri" w:hAnsi="Calibri"/>
                <w:sz w:val="22"/>
              </w:rPr>
              <w:t>Open Market Sale</w:t>
            </w:r>
          </w:p>
        </w:tc>
        <w:tc>
          <w:tcPr>
            <w:tcW w:type="dxa" w:w="1440"/>
          </w:tcPr>
          <w:p>
            <w:r>
              <w:rPr>
                <w:rFonts w:ascii="Calibri" w:hAnsi="Calibri"/>
                <w:sz w:val="22"/>
              </w:rPr>
              <w:t>30,000</w:t>
            </w:r>
          </w:p>
        </w:tc>
        <w:tc>
          <w:tcPr>
            <w:tcW w:type="dxa" w:w="1440"/>
          </w:tcPr>
          <w:p>
            <w:r>
              <w:rPr>
                <w:rFonts w:ascii="Calibri" w:hAnsi="Calibri"/>
                <w:sz w:val="22"/>
              </w:rPr>
              <w:t>May 6, 2026</w:t>
            </w:r>
          </w:p>
        </w:tc>
        <w:tc>
          <w:tcPr>
            <w:tcW w:type="dxa" w:w="1440"/>
          </w:tcPr>
          <w:p>
            <w:r>
              <w:rPr>
                <w:rFonts w:ascii="Calibri" w:hAnsi="Calibri"/>
                <w:sz w:val="22"/>
              </w:rPr>
              <w:t>Discretionary (not 10b5-1); retains ~206K shares; sold shortly after Q1 earnings beat</w:t>
            </w:r>
          </w:p>
        </w:tc>
      </w:tr>
      <w:tr>
        <w:tc>
          <w:tcPr>
            <w:tcW w:type="dxa" w:w="1440"/>
          </w:tcPr>
          <w:p>
            <w:r>
              <w:rPr>
                <w:rFonts w:ascii="Calibri" w:hAnsi="Calibri"/>
                <w:sz w:val="22"/>
              </w:rPr>
              <w:t>Sciammas Maurice</w:t>
            </w:r>
          </w:p>
        </w:tc>
        <w:tc>
          <w:tcPr>
            <w:tcW w:type="dxa" w:w="1440"/>
          </w:tcPr>
          <w:p>
            <w:r>
              <w:rPr>
                <w:rFonts w:ascii="Calibri" w:hAnsi="Calibri"/>
                <w:sz w:val="22"/>
              </w:rPr>
              <w:t>EVP, WW Sales &amp; Marketing</w:t>
            </w:r>
          </w:p>
        </w:tc>
        <w:tc>
          <w:tcPr>
            <w:tcW w:type="dxa" w:w="1440"/>
          </w:tcPr>
          <w:p>
            <w:r>
              <w:rPr>
                <w:rFonts w:ascii="Calibri" w:hAnsi="Calibri"/>
                <w:sz w:val="22"/>
              </w:rPr>
              <w:t>10b5-1 Planned Sale</w:t>
            </w:r>
          </w:p>
        </w:tc>
        <w:tc>
          <w:tcPr>
            <w:tcW w:type="dxa" w:w="1440"/>
          </w:tcPr>
          <w:p>
            <w:r>
              <w:rPr>
                <w:rFonts w:ascii="Calibri" w:hAnsi="Calibri"/>
                <w:sz w:val="22"/>
              </w:rPr>
              <w:t>15,000</w:t>
            </w:r>
          </w:p>
        </w:tc>
        <w:tc>
          <w:tcPr>
            <w:tcW w:type="dxa" w:w="1440"/>
          </w:tcPr>
          <w:p>
            <w:r>
              <w:rPr>
                <w:rFonts w:ascii="Calibri" w:hAnsi="Calibri"/>
                <w:sz w:val="22"/>
              </w:rPr>
              <w:t>Jul 15, 2026</w:t>
            </w:r>
          </w:p>
        </w:tc>
        <w:tc>
          <w:tcPr>
            <w:tcW w:type="dxa" w:w="1440"/>
          </w:tcPr>
          <w:p>
            <w:r>
              <w:rPr>
                <w:rFonts w:ascii="Calibri" w:hAnsi="Calibri"/>
                <w:sz w:val="22"/>
              </w:rPr>
              <w:t>10b5-1 plan; routine scheduled sale; retains ~152K shares</w:t>
            </w:r>
          </w:p>
        </w:tc>
      </w:tr>
      <w:tr>
        <w:tc>
          <w:tcPr>
            <w:tcW w:type="dxa" w:w="1440"/>
          </w:tcPr>
          <w:p>
            <w:r>
              <w:rPr>
                <w:rFonts w:ascii="Calibri" w:hAnsi="Calibri"/>
                <w:sz w:val="22"/>
              </w:rPr>
              <w:t>Sciammas Maurice</w:t>
            </w:r>
          </w:p>
        </w:tc>
        <w:tc>
          <w:tcPr>
            <w:tcW w:type="dxa" w:w="1440"/>
          </w:tcPr>
          <w:p>
            <w:r>
              <w:rPr>
                <w:rFonts w:ascii="Calibri" w:hAnsi="Calibri"/>
                <w:sz w:val="22"/>
              </w:rPr>
              <w:t>EVP, WW Sales &amp; Marketing</w:t>
            </w:r>
          </w:p>
        </w:tc>
        <w:tc>
          <w:tcPr>
            <w:tcW w:type="dxa" w:w="1440"/>
          </w:tcPr>
          <w:p>
            <w:r>
              <w:rPr>
                <w:rFonts w:ascii="Calibri" w:hAnsi="Calibri"/>
                <w:sz w:val="22"/>
              </w:rPr>
              <w:t>10b5-1 Planned Sale</w:t>
            </w:r>
          </w:p>
        </w:tc>
        <w:tc>
          <w:tcPr>
            <w:tcW w:type="dxa" w:w="1440"/>
          </w:tcPr>
          <w:p>
            <w:r>
              <w:rPr>
                <w:rFonts w:ascii="Calibri" w:hAnsi="Calibri"/>
                <w:sz w:val="22"/>
              </w:rPr>
              <w:t>12,000</w:t>
            </w:r>
          </w:p>
        </w:tc>
        <w:tc>
          <w:tcPr>
            <w:tcW w:type="dxa" w:w="1440"/>
          </w:tcPr>
          <w:p>
            <w:r>
              <w:rPr>
                <w:rFonts w:ascii="Calibri" w:hAnsi="Calibri"/>
                <w:sz w:val="22"/>
              </w:rPr>
              <w:t>May 15, 2026</w:t>
            </w:r>
          </w:p>
        </w:tc>
        <w:tc>
          <w:tcPr>
            <w:tcW w:type="dxa" w:w="1440"/>
          </w:tcPr>
          <w:p>
            <w:r>
              <w:rPr>
                <w:rFonts w:ascii="Calibri" w:hAnsi="Calibri"/>
                <w:sz w:val="22"/>
              </w:rPr>
              <w:t>10b5-1 plan; routine scheduled sale</w:t>
            </w:r>
          </w:p>
        </w:tc>
      </w:tr>
      <w:tr>
        <w:tc>
          <w:tcPr>
            <w:tcW w:type="dxa" w:w="1440"/>
          </w:tcPr>
          <w:p>
            <w:r>
              <w:rPr>
                <w:rFonts w:ascii="Calibri" w:hAnsi="Calibri"/>
                <w:sz w:val="22"/>
              </w:rPr>
              <w:t>Tseng Saria</w:t>
            </w:r>
          </w:p>
        </w:tc>
        <w:tc>
          <w:tcPr>
            <w:tcW w:type="dxa" w:w="1440"/>
          </w:tcPr>
          <w:p>
            <w:r>
              <w:rPr>
                <w:rFonts w:ascii="Calibri" w:hAnsi="Calibri"/>
                <w:sz w:val="22"/>
              </w:rPr>
              <w:t>EVP &amp; General Counsel</w:t>
            </w:r>
          </w:p>
        </w:tc>
        <w:tc>
          <w:tcPr>
            <w:tcW w:type="dxa" w:w="1440"/>
          </w:tcPr>
          <w:p>
            <w:r>
              <w:rPr>
                <w:rFonts w:ascii="Calibri" w:hAnsi="Calibri"/>
                <w:sz w:val="22"/>
              </w:rPr>
              <w:t>Open Market Sale</w:t>
            </w:r>
          </w:p>
        </w:tc>
        <w:tc>
          <w:tcPr>
            <w:tcW w:type="dxa" w:w="1440"/>
          </w:tcPr>
          <w:p>
            <w:r>
              <w:rPr>
                <w:rFonts w:ascii="Calibri" w:hAnsi="Calibri"/>
                <w:sz w:val="22"/>
              </w:rPr>
              <w:t>7,565</w:t>
            </w:r>
          </w:p>
        </w:tc>
        <w:tc>
          <w:tcPr>
            <w:tcW w:type="dxa" w:w="1440"/>
          </w:tcPr>
          <w:p>
            <w:r>
              <w:rPr>
                <w:rFonts w:ascii="Calibri" w:hAnsi="Calibri"/>
                <w:sz w:val="22"/>
              </w:rPr>
              <w:t>May 27, 2026</w:t>
            </w:r>
          </w:p>
        </w:tc>
        <w:tc>
          <w:tcPr>
            <w:tcW w:type="dxa" w:w="1440"/>
          </w:tcPr>
          <w:p>
            <w:r>
              <w:rPr>
                <w:rFonts w:ascii="Calibri" w:hAnsi="Calibri"/>
                <w:sz w:val="22"/>
              </w:rPr>
              <w:t>Discretionary (not 10b5-1); retains ~144K shares</w:t>
            </w:r>
          </w:p>
        </w:tc>
      </w:tr>
      <w:tr>
        <w:tc>
          <w:tcPr>
            <w:tcW w:type="dxa" w:w="1440"/>
          </w:tcPr>
          <w:p>
            <w:r>
              <w:rPr>
                <w:rFonts w:ascii="Calibri" w:hAnsi="Calibri"/>
                <w:sz w:val="22"/>
              </w:rPr>
              <w:t>Elmiger Eugen J</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12,000</w:t>
            </w:r>
          </w:p>
        </w:tc>
        <w:tc>
          <w:tcPr>
            <w:tcW w:type="dxa" w:w="1440"/>
          </w:tcPr>
          <w:p>
            <w:r>
              <w:rPr>
                <w:rFonts w:ascii="Calibri" w:hAnsi="Calibri"/>
                <w:sz w:val="22"/>
              </w:rPr>
              <w:t>May 6, 2026</w:t>
            </w:r>
          </w:p>
        </w:tc>
        <w:tc>
          <w:tcPr>
            <w:tcW w:type="dxa" w:w="1440"/>
          </w:tcPr>
          <w:p>
            <w:r>
              <w:rPr>
                <w:rFonts w:ascii="Calibri" w:hAnsi="Calibri"/>
                <w:sz w:val="22"/>
              </w:rPr>
              <w:t>Discretionary (not 10b5-1); retains ~5,402 shares post-sale</w:t>
            </w:r>
          </w:p>
        </w:tc>
      </w:tr>
      <w:tr>
        <w:tc>
          <w:tcPr>
            <w:tcW w:type="dxa" w:w="1440"/>
          </w:tcPr>
          <w:p>
            <w:r>
              <w:rPr>
                <w:rFonts w:ascii="Calibri" w:hAnsi="Calibri"/>
                <w:sz w:val="22"/>
              </w:rPr>
              <w:t>Zhou Jeff</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1,514 (combined)</w:t>
            </w:r>
          </w:p>
        </w:tc>
        <w:tc>
          <w:tcPr>
            <w:tcW w:type="dxa" w:w="1440"/>
          </w:tcPr>
          <w:p>
            <w:r>
              <w:rPr>
                <w:rFonts w:ascii="Calibri" w:hAnsi="Calibri"/>
                <w:sz w:val="22"/>
              </w:rPr>
              <w:t>May 5–6, 2026</w:t>
            </w:r>
          </w:p>
        </w:tc>
        <w:tc>
          <w:tcPr>
            <w:tcW w:type="dxa" w:w="1440"/>
          </w:tcPr>
          <w:p>
            <w:r>
              <w:rPr>
                <w:rFonts w:ascii="Calibri" w:hAnsi="Calibri"/>
                <w:sz w:val="22"/>
              </w:rPr>
              <w:t>Discretionary (not 10b5-1); retains ~4,286 shares</w:t>
            </w:r>
          </w:p>
        </w:tc>
      </w:tr>
      <w:tr>
        <w:tc>
          <w:tcPr>
            <w:tcW w:type="dxa" w:w="1440"/>
          </w:tcPr>
          <w:p>
            <w:r>
              <w:rPr>
                <w:rFonts w:ascii="Calibri" w:hAnsi="Calibri"/>
                <w:sz w:val="22"/>
              </w:rPr>
              <w:t>Wynne Eileen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335</w:t>
            </w:r>
          </w:p>
        </w:tc>
        <w:tc>
          <w:tcPr>
            <w:tcW w:type="dxa" w:w="1440"/>
          </w:tcPr>
          <w:p>
            <w:r>
              <w:rPr>
                <w:rFonts w:ascii="Calibri" w:hAnsi="Calibri"/>
                <w:sz w:val="22"/>
              </w:rPr>
              <w:t>May 6, 2026</w:t>
            </w:r>
          </w:p>
        </w:tc>
        <w:tc>
          <w:tcPr>
            <w:tcW w:type="dxa" w:w="1440"/>
          </w:tcPr>
          <w:p>
            <w:r>
              <w:rPr>
                <w:rFonts w:ascii="Calibri" w:hAnsi="Calibri"/>
                <w:sz w:val="22"/>
              </w:rPr>
              <w:t>Discretionary (not 10b5-1); small size; retains ~1,007 shares</w:t>
            </w:r>
          </w:p>
        </w:tc>
      </w:tr>
      <w:tr>
        <w:tc>
          <w:tcPr>
            <w:tcW w:type="dxa" w:w="1440"/>
          </w:tcPr>
          <w:p>
            <w:r>
              <w:rPr>
                <w:rFonts w:ascii="Calibri" w:hAnsi="Calibri"/>
                <w:sz w:val="22"/>
              </w:rPr>
              <w:t>DEAN ROBERT W II</w:t>
            </w:r>
          </w:p>
        </w:tc>
        <w:tc>
          <w:tcPr>
            <w:tcW w:type="dxa" w:w="1440"/>
          </w:tcPr>
          <w:p>
            <w:r>
              <w:rPr>
                <w:rFonts w:ascii="Calibri" w:hAnsi="Calibri"/>
                <w:sz w:val="22"/>
              </w:rPr>
              <w:t>Interim CFO</w:t>
            </w:r>
          </w:p>
        </w:tc>
        <w:tc>
          <w:tcPr>
            <w:tcW w:type="dxa" w:w="1440"/>
          </w:tcPr>
          <w:p>
            <w:r>
              <w:rPr>
                <w:rFonts w:ascii="Calibri" w:hAnsi="Calibri"/>
                <w:sz w:val="22"/>
              </w:rPr>
              <w:t>Award (A)</w:t>
            </w:r>
          </w:p>
        </w:tc>
        <w:tc>
          <w:tcPr>
            <w:tcW w:type="dxa" w:w="1440"/>
          </w:tcPr>
          <w:p>
            <w:r>
              <w:rPr>
                <w:rFonts w:ascii="Calibri" w:hAnsi="Calibri"/>
                <w:sz w:val="22"/>
              </w:rPr>
              <w:t>1,359</w:t>
            </w:r>
          </w:p>
        </w:tc>
        <w:tc>
          <w:tcPr>
            <w:tcW w:type="dxa" w:w="1440"/>
          </w:tcPr>
          <w:p>
            <w:r>
              <w:rPr>
                <w:rFonts w:ascii="Calibri" w:hAnsi="Calibri"/>
                <w:sz w:val="22"/>
              </w:rPr>
              <w:t>Jul 25, 2026</w:t>
            </w:r>
          </w:p>
        </w:tc>
        <w:tc>
          <w:tcPr>
            <w:tcW w:type="dxa" w:w="1440"/>
          </w:tcPr>
          <w:p>
            <w:r>
              <w:rPr>
                <w:rFonts w:ascii="Calibri" w:hAnsi="Calibri"/>
                <w:sz w:val="22"/>
              </w:rPr>
              <w:t>Equity award grant; not a market purchase or sale</w:t>
            </w:r>
          </w:p>
        </w:tc>
      </w:tr>
    </w:tbl>
    <w:p>
      <w:r>
        <w:rPr>
          <w:rFonts w:ascii="Calibri" w:hAnsi="Calibri"/>
          <w:color w:val="525866"/>
          <w:sz w:val="22"/>
        </w:rPr>
        <w:t>Source: SEC Form 4 filings (Insider Transaction Data). Open-market buys and sells only (Form 4 codes P/S) plus disclosed 10b5-1 plan sales and equity awards. The cluster of discretionary sales in early May 2026 (CEO, EVP Operations, multiple directors) shortly after the Q1 earnings beat is notable, though insiders retain large positions. No open-market buys were recorded in the period. The Interim CFO's July 25 award is a compensation grant, not a market transaction.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