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Monolithic Power Systems (MPWR)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Monolithic Power Systems, Inc.</w:t>
            </w:r>
          </w:p>
        </w:tc>
      </w:tr>
      <w:tr>
        <w:tc>
          <w:tcPr>
            <w:tcW w:type="dxa" w:w="4320"/>
          </w:tcPr>
          <w:p>
            <w:r>
              <w:rPr>
                <w:rFonts w:ascii="Calibri" w:hAnsi="Calibri"/>
                <w:b/>
                <w:sz w:val="22"/>
              </w:rPr>
              <w:t>Ticker</w:t>
            </w:r>
          </w:p>
        </w:tc>
        <w:tc>
          <w:tcPr>
            <w:tcW w:type="dxa" w:w="4320"/>
          </w:tcPr>
          <w:p>
            <w:r>
              <w:rPr>
                <w:rFonts w:ascii="Calibri" w:hAnsi="Calibri"/>
                <w:sz w:val="22"/>
              </w:rPr>
              <w:t>MPWR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30, 2026 (after market close); Q&amp;A webinar at 5:00 PM ET</w:t>
            </w:r>
          </w:p>
        </w:tc>
      </w:tr>
      <w:tr>
        <w:tc>
          <w:tcPr>
            <w:tcW w:type="dxa" w:w="4320"/>
          </w:tcPr>
          <w:p>
            <w:r>
              <w:rPr>
                <w:rFonts w:ascii="Calibri" w:hAnsi="Calibri"/>
                <w:b/>
                <w:sz w:val="22"/>
              </w:rPr>
              <w:t>Last Earnings</w:t>
            </w:r>
          </w:p>
        </w:tc>
        <w:tc>
          <w:tcPr>
            <w:tcW w:type="dxa" w:w="4320"/>
          </w:tcPr>
          <w:p>
            <w:r>
              <w:rPr>
                <w:rFonts w:ascii="Calibri" w:hAnsi="Calibri"/>
                <w:sz w:val="22"/>
              </w:rPr>
              <w:t>April 30, 2026 (Q1 2026)</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r>
        <w:tc>
          <w:tcPr>
            <w:tcW w:type="dxa" w:w="4320"/>
          </w:tcPr>
          <w:p>
            <w:r>
              <w:rPr>
                <w:rFonts w:ascii="Calibri" w:hAnsi="Calibri"/>
                <w:b/>
                <w:sz w:val="22"/>
              </w:rPr>
              <w:t>Primary Valuation KPI</w:t>
            </w:r>
          </w:p>
        </w:tc>
        <w:tc>
          <w:tcPr>
            <w:tcW w:type="dxa" w:w="4320"/>
          </w:tcPr>
          <w:p>
            <w:r>
              <w:rPr>
                <w:rFonts w:ascii="Calibri" w:hAnsi="Calibri"/>
                <w:sz w:val="22"/>
              </w:rPr>
              <w:t>Non-GAAP Diluted EPS (P/E: ~46x NTM)</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favors a beat — consensus has drifted only modestly above the Q1 guidance midpoint, management raised the Enterprise Data 2026 growth floor to ~85% YoY just 90 days ago, and peer read-throughs from TXN and SWKS confirm data-center and automotive demand remained robust through June. The single biggest swing factor is whether Enterprise Data revenue can clear the implied ~$319M consensus bar and whether management's tone on second-half gross margin headwinds has softened or hardened.</w:t>
      </w:r>
    </w:p>
    <w:p>
      <w:r>
        <w:rPr>
          <w:rFonts w:ascii="Calibri" w:hAnsi="Calibri"/>
          <w:b/>
          <w:color w:val="525866"/>
          <w:sz w:val="22"/>
        </w:rPr>
        <w:t xml:space="preserve">MPWR heads into Q2 2026 results with a constructive but not stretched setup. </w:t>
      </w:r>
      <w:r>
        <w:rPr>
          <w:rFonts w:ascii="Calibri" w:hAnsi="Calibri"/>
          <w:color w:val="525866"/>
          <w:sz w:val="22"/>
        </w:rPr>
        <w:t>Consensus revenue of ~$903M sits squarely within the $890–$910M guidance range issued on April 30, leaving little room for a guidance-driven miss but also implying the Street has not yet priced in a meaningful upside surprise. Management's posture on the Q1 call was notably confident on Enterprise Data — raising the full-year growth floor from ~50% to ~85% YoY — while simultaneously flagging potential second-half gross margin headwinds, a combination that has kept estimate revisions measured: revenue and EPS for Q2 have crept up only ~0.2% since the post-print baseline, suggesting the Street is waiting for confirmation rather than front-running. The stock has pulled back ~23% from its post-Q1 peak of ~$1,689 to ~$1,249 as of July 29, underperforming SOXX over the same window, which means the multiple has compressed from ~57x to ~46x NTM P/E — a reset that lowers the bar for a positive reaction. The key wildcard is the trajectory of gross margin guidance for H2: if management signals the headwinds are manageable or narrowing, the stock could re-rate sharply; if the cautious tone deepens, the multiple compression could continue despite a revenue beat.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sits at the midpoint of guidance for revenue and gross margin, making Enterprise Data revenue (~$319M implied, +21% QoQ) the bigger swing factor — a beat there would validate the ~85% YoY growth floor and likely drive the stock. Non-GAAP EPS of ~$5.87 is a modest bar given Q1 came in at $5.10 actual vs. $4.90 consensus.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(midpoint)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($M)</w:t>
            </w:r>
          </w:p>
        </w:tc>
        <w:tc>
          <w:tcPr>
            <w:tcW w:type="dxa" w:w="1234"/>
          </w:tcPr>
          <w:p>
            <w:r>
              <w:rPr>
                <w:rFonts w:ascii="Calibri" w:hAnsi="Calibri"/>
                <w:sz w:val="22"/>
              </w:rPr>
              <w:t>$804.2M</w:t>
            </w:r>
          </w:p>
        </w:tc>
        <w:tc>
          <w:tcPr>
            <w:tcW w:type="dxa" w:w="1234"/>
          </w:tcPr>
          <w:p>
            <w:r>
              <w:rPr>
                <w:rFonts w:ascii="Calibri" w:hAnsi="Calibri"/>
                <w:sz w:val="22"/>
              </w:rPr>
              <w:t>$664.6M</w:t>
            </w:r>
          </w:p>
        </w:tc>
        <w:tc>
          <w:tcPr>
            <w:tcW w:type="dxa" w:w="1234"/>
          </w:tcPr>
          <w:p>
            <w:r>
              <w:rPr>
                <w:rFonts w:ascii="Calibri" w:hAnsi="Calibri"/>
                <w:sz w:val="22"/>
              </w:rPr>
              <w:t>$903.3M</w:t>
            </w:r>
          </w:p>
        </w:tc>
        <w:tc>
          <w:tcPr>
            <w:tcW w:type="dxa" w:w="1234"/>
          </w:tcPr>
          <w:p>
            <w:r>
              <w:rPr>
                <w:rFonts w:ascii="Calibri" w:hAnsi="Calibri"/>
                <w:sz w:val="22"/>
              </w:rPr>
              <w:t>+35.9% YoY</w:t>
            </w:r>
          </w:p>
        </w:tc>
        <w:tc>
          <w:tcPr>
            <w:tcW w:type="dxa" w:w="1234"/>
          </w:tcPr>
          <w:p>
            <w:r>
              <w:rPr>
                <w:rFonts w:ascii="Calibri" w:hAnsi="Calibri"/>
                <w:sz w:val="22"/>
              </w:rPr>
              <w:t>$900.0M</w:t>
            </w:r>
          </w:p>
        </w:tc>
        <w:tc>
          <w:tcPr>
            <w:tcW w:type="dxa" w:w="1234"/>
          </w:tcPr>
          <w:p>
            <w:r>
              <w:rPr>
                <w:rFonts w:ascii="Calibri" w:hAnsi="Calibri"/>
                <w:sz w:val="22"/>
              </w:rPr>
              <w:t>+0.4%</w:t>
            </w:r>
          </w:p>
        </w:tc>
      </w:tr>
      <w:tr>
        <w:tc>
          <w:tcPr>
            <w:tcW w:type="dxa" w:w="1234"/>
          </w:tcPr>
          <w:p>
            <w:r>
              <w:rPr>
                <w:rFonts w:ascii="Calibri" w:hAnsi="Calibri"/>
                <w:sz w:val="22"/>
              </w:rPr>
              <w:t>Enterprise Data Revenue ($M)</w:t>
            </w:r>
          </w:p>
        </w:tc>
        <w:tc>
          <w:tcPr>
            <w:tcW w:type="dxa" w:w="1234"/>
          </w:tcPr>
          <w:p>
            <w:r>
              <w:rPr>
                <w:rFonts w:ascii="Calibri" w:hAnsi="Calibri"/>
                <w:sz w:val="22"/>
              </w:rPr>
              <w:t>$262.8M</w:t>
            </w:r>
          </w:p>
        </w:tc>
        <w:tc>
          <w:tcPr>
            <w:tcW w:type="dxa" w:w="1234"/>
          </w:tcPr>
          <w:p>
            <w:r>
              <w:rPr>
                <w:rFonts w:ascii="Calibri" w:hAnsi="Calibri"/>
                <w:sz w:val="22"/>
              </w:rPr>
              <w:t>$144.0M</w:t>
            </w:r>
          </w:p>
        </w:tc>
        <w:tc>
          <w:tcPr>
            <w:tcW w:type="dxa" w:w="1234"/>
          </w:tcPr>
          <w:p>
            <w:r>
              <w:rPr>
                <w:rFonts w:ascii="Calibri" w:hAnsi="Calibri"/>
                <w:sz w:val="22"/>
              </w:rPr>
              <w:t>$319.4M</w:t>
            </w:r>
          </w:p>
        </w:tc>
        <w:tc>
          <w:tcPr>
            <w:tcW w:type="dxa" w:w="1234"/>
          </w:tcPr>
          <w:p>
            <w:r>
              <w:rPr>
                <w:rFonts w:ascii="Calibri" w:hAnsi="Calibri"/>
                <w:sz w:val="22"/>
              </w:rPr>
              <w:t>+121.8% YoY</w:t>
            </w:r>
          </w:p>
        </w:tc>
        <w:tc>
          <w:tcPr>
            <w:tcW w:type="dxa" w:w="1234"/>
          </w:tcPr>
          <w:p>
            <w:r>
              <w:rPr>
                <w:rFonts w:ascii="Calibri" w:hAnsi="Calibri"/>
                <w:sz w:val="22"/>
              </w:rPr>
              <w:t>N/A (segment not guided explicitly)</w:t>
            </w:r>
          </w:p>
        </w:tc>
        <w:tc>
          <w:tcPr>
            <w:tcW w:type="dxa" w:w="1234"/>
          </w:tcPr>
          <w:p>
            <w:r>
              <w:rPr>
                <w:rFonts w:ascii="Calibri" w:hAnsi="Calibri"/>
                <w:sz w:val="22"/>
              </w:rPr>
              <w:t>N/A</w:t>
            </w:r>
          </w:p>
        </w:tc>
      </w:tr>
      <w:tr>
        <w:tc>
          <w:tcPr>
            <w:tcW w:type="dxa" w:w="1234"/>
          </w:tcPr>
          <w:p>
            <w:r>
              <w:rPr>
                <w:rFonts w:ascii="Calibri" w:hAnsi="Calibri"/>
                <w:sz w:val="22"/>
              </w:rPr>
              <w:t>Non-GAAP Gross Margin (%)</w:t>
            </w:r>
          </w:p>
        </w:tc>
        <w:tc>
          <w:tcPr>
            <w:tcW w:type="dxa" w:w="1234"/>
          </w:tcPr>
          <w:p>
            <w:r>
              <w:rPr>
                <w:rFonts w:ascii="Calibri" w:hAnsi="Calibri"/>
                <w:sz w:val="22"/>
              </w:rPr>
              <w:t>55.5%</w:t>
            </w:r>
          </w:p>
        </w:tc>
        <w:tc>
          <w:tcPr>
            <w:tcW w:type="dxa" w:w="1234"/>
          </w:tcPr>
          <w:p>
            <w:r>
              <w:rPr>
                <w:rFonts w:ascii="Calibri" w:hAnsi="Calibri"/>
                <w:sz w:val="22"/>
              </w:rPr>
              <w:t>55.5%</w:t>
            </w:r>
          </w:p>
        </w:tc>
        <w:tc>
          <w:tcPr>
            <w:tcW w:type="dxa" w:w="1234"/>
          </w:tcPr>
          <w:p>
            <w:r>
              <w:rPr>
                <w:rFonts w:ascii="Calibri" w:hAnsi="Calibri"/>
                <w:sz w:val="22"/>
              </w:rPr>
              <w:t>~55.6% (implied)</w:t>
            </w:r>
          </w:p>
        </w:tc>
        <w:tc>
          <w:tcPr>
            <w:tcW w:type="dxa" w:w="1234"/>
          </w:tcPr>
          <w:p>
            <w:r>
              <w:rPr>
                <w:rFonts w:ascii="Calibri" w:hAnsi="Calibri"/>
                <w:sz w:val="22"/>
              </w:rPr>
              <w:t>Flat YoY</w:t>
            </w:r>
          </w:p>
        </w:tc>
        <w:tc>
          <w:tcPr>
            <w:tcW w:type="dxa" w:w="1234"/>
          </w:tcPr>
          <w:p>
            <w:r>
              <w:rPr>
                <w:rFonts w:ascii="Calibri" w:hAnsi="Calibri"/>
                <w:sz w:val="22"/>
              </w:rPr>
              <w:t>55.3%–55.9% (mid: 55.6%)</w:t>
            </w:r>
          </w:p>
        </w:tc>
        <w:tc>
          <w:tcPr>
            <w:tcW w:type="dxa" w:w="1234"/>
          </w:tcPr>
          <w:p>
            <w:r>
              <w:rPr>
                <w:rFonts w:ascii="Calibri" w:hAnsi="Calibri"/>
                <w:sz w:val="22"/>
              </w:rPr>
              <w:t>~0.0%</w:t>
            </w:r>
          </w:p>
        </w:tc>
      </w:tr>
      <w:tr>
        <w:tc>
          <w:tcPr>
            <w:tcW w:type="dxa" w:w="1234"/>
          </w:tcPr>
          <w:p>
            <w:r>
              <w:rPr>
                <w:rFonts w:ascii="Calibri" w:hAnsi="Calibri"/>
                <w:sz w:val="22"/>
              </w:rPr>
              <w:t>Non-GAAP Gross Profit ($M)</w:t>
            </w:r>
          </w:p>
        </w:tc>
        <w:tc>
          <w:tcPr>
            <w:tcW w:type="dxa" w:w="1234"/>
          </w:tcPr>
          <w:p>
            <w:r>
              <w:rPr>
                <w:rFonts w:ascii="Calibri" w:hAnsi="Calibri"/>
                <w:sz w:val="22"/>
              </w:rPr>
              <w:t>$446.4M</w:t>
            </w:r>
          </w:p>
        </w:tc>
        <w:tc>
          <w:tcPr>
            <w:tcW w:type="dxa" w:w="1234"/>
          </w:tcPr>
          <w:p>
            <w:r>
              <w:rPr>
                <w:rFonts w:ascii="Calibri" w:hAnsi="Calibri"/>
                <w:sz w:val="22"/>
              </w:rPr>
              <w:t>$368.8M</w:t>
            </w:r>
          </w:p>
        </w:tc>
        <w:tc>
          <w:tcPr>
            <w:tcW w:type="dxa" w:w="1234"/>
          </w:tcPr>
          <w:p>
            <w:r>
              <w:rPr>
                <w:rFonts w:ascii="Calibri" w:hAnsi="Calibri"/>
                <w:sz w:val="22"/>
              </w:rPr>
              <w:t>$502.0M</w:t>
            </w:r>
          </w:p>
        </w:tc>
        <w:tc>
          <w:tcPr>
            <w:tcW w:type="dxa" w:w="1234"/>
          </w:tcPr>
          <w:p>
            <w:r>
              <w:rPr>
                <w:rFonts w:ascii="Calibri" w:hAnsi="Calibri"/>
                <w:sz w:val="22"/>
              </w:rPr>
              <w:t>+36.1% YoY</w:t>
            </w:r>
          </w:p>
        </w:tc>
        <w:tc>
          <w:tcPr>
            <w:tcW w:type="dxa" w:w="1234"/>
          </w:tcPr>
          <w:p>
            <w:r>
              <w:rPr>
                <w:rFonts w:ascii="Calibri" w:hAnsi="Calibri"/>
                <w:sz w:val="22"/>
              </w:rPr>
              <w:t>~$500M (implied)</w:t>
            </w:r>
          </w:p>
        </w:tc>
        <w:tc>
          <w:tcPr>
            <w:tcW w:type="dxa" w:w="1234"/>
          </w:tcPr>
          <w:p>
            <w:r>
              <w:rPr>
                <w:rFonts w:ascii="Calibri" w:hAnsi="Calibri"/>
                <w:sz w:val="22"/>
              </w:rPr>
              <w:t>+0.4%</w:t>
            </w:r>
          </w:p>
        </w:tc>
      </w:tr>
      <w:tr>
        <w:tc>
          <w:tcPr>
            <w:tcW w:type="dxa" w:w="1234"/>
          </w:tcPr>
          <w:p>
            <w:r>
              <w:rPr>
                <w:rFonts w:ascii="Calibri" w:hAnsi="Calibri"/>
                <w:sz w:val="22"/>
              </w:rPr>
              <w:t>Non-GAAP Diluted EPS ($)</w:t>
            </w:r>
          </w:p>
        </w:tc>
        <w:tc>
          <w:tcPr>
            <w:tcW w:type="dxa" w:w="1234"/>
          </w:tcPr>
          <w:p>
            <w:r>
              <w:rPr>
                <w:rFonts w:ascii="Calibri" w:hAnsi="Calibri"/>
                <w:sz w:val="22"/>
              </w:rPr>
              <w:t>$5.10</w:t>
            </w:r>
          </w:p>
        </w:tc>
        <w:tc>
          <w:tcPr>
            <w:tcW w:type="dxa" w:w="1234"/>
          </w:tcPr>
          <w:p>
            <w:r>
              <w:rPr>
                <w:rFonts w:ascii="Calibri" w:hAnsi="Calibri"/>
                <w:sz w:val="22"/>
              </w:rPr>
              <w:t>$4.21</w:t>
            </w:r>
          </w:p>
        </w:tc>
        <w:tc>
          <w:tcPr>
            <w:tcW w:type="dxa" w:w="1234"/>
          </w:tcPr>
          <w:p>
            <w:r>
              <w:rPr>
                <w:rFonts w:ascii="Calibri" w:hAnsi="Calibri"/>
                <w:sz w:val="22"/>
              </w:rPr>
              <w:t>$5.87</w:t>
            </w:r>
          </w:p>
        </w:tc>
        <w:tc>
          <w:tcPr>
            <w:tcW w:type="dxa" w:w="1234"/>
          </w:tcPr>
          <w:p>
            <w:r>
              <w:rPr>
                <w:rFonts w:ascii="Calibri" w:hAnsi="Calibri"/>
                <w:sz w:val="22"/>
              </w:rPr>
              <w:t>+39.4% YoY</w:t>
            </w:r>
          </w:p>
        </w:tc>
        <w:tc>
          <w:tcPr>
            <w:tcW w:type="dxa" w:w="1234"/>
          </w:tcPr>
          <w:p>
            <w:r>
              <w:rPr>
                <w:rFonts w:ascii="Calibri" w:hAnsi="Calibri"/>
                <w:sz w:val="22"/>
              </w:rPr>
              <w:t>N/A (not explicitly guided)</w:t>
            </w:r>
          </w:p>
        </w:tc>
        <w:tc>
          <w:tcPr>
            <w:tcW w:type="dxa" w:w="1234"/>
          </w:tcPr>
          <w:p>
            <w:r>
              <w:rPr>
                <w:rFonts w:ascii="Calibri" w:hAnsi="Calibri"/>
                <w:sz w:val="22"/>
              </w:rPr>
              <w:t>N/A</w:t>
            </w:r>
          </w:p>
        </w:tc>
      </w:tr>
    </w:tbl>
    <w:p>
      <w:r>
        <w:rPr>
          <w:rFonts w:ascii="Calibri" w:hAnsi="Calibri"/>
          <w:i/>
          <w:color w:val="525866"/>
          <w:sz w:val="22"/>
        </w:rPr>
        <w:t xml:space="preserve">Sources: </w:t>
      </w:r>
      <w:r>
        <w:rPr>
          <w:rFonts w:ascii="Calibri" w:hAnsi="Calibri"/>
          <w:i/>
          <w:color w:val="525866"/>
          <w:sz w:val="22"/>
        </w:rPr>
        <w:t>Total Revenue, Enterprise Data Revenue, Non-GAAP Gross Profit, and Non-GAAP EPS consensus from Visible Alpha Consensus and Actuals Data. Q1 2026 actuals and Q2 2026 guidance from MPWR Q1 2026 Earnings Release (April 30, 2026).</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$507.4M</w:t>
            </w:r>
          </w:p>
        </w:tc>
        <w:tc>
          <w:tcPr>
            <w:tcW w:type="dxa" w:w="1728"/>
          </w:tcPr>
          <w:p>
            <w:r>
              <w:rPr>
                <w:rFonts w:ascii="Calibri" w:hAnsi="Calibri"/>
                <w:sz w:val="22"/>
              </w:rPr>
              <w:t>$490.7M</w:t>
            </w:r>
          </w:p>
        </w:tc>
        <w:tc>
          <w:tcPr>
            <w:tcW w:type="dxa" w:w="1728"/>
          </w:tcPr>
          <w:p>
            <w:r>
              <w:rPr>
                <w:rFonts w:ascii="Calibri" w:hAnsi="Calibri"/>
                <w:b/>
                <w:color w:val="30A46C"/>
                <w:sz w:val="22"/>
              </w:rPr>
              <w:t>+3.4%</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$620.1M</w:t>
            </w:r>
          </w:p>
        </w:tc>
        <w:tc>
          <w:tcPr>
            <w:tcW w:type="dxa" w:w="1728"/>
          </w:tcPr>
          <w:p>
            <w:r>
              <w:rPr>
                <w:rFonts w:ascii="Calibri" w:hAnsi="Calibri"/>
                <w:sz w:val="22"/>
              </w:rPr>
              <w:t>$600.6M</w:t>
            </w:r>
          </w:p>
        </w:tc>
        <w:tc>
          <w:tcPr>
            <w:tcW w:type="dxa" w:w="1728"/>
          </w:tcPr>
          <w:p>
            <w:r>
              <w:rPr>
                <w:rFonts w:ascii="Calibri" w:hAnsi="Calibri"/>
                <w:b/>
                <w:color w:val="30A46C"/>
                <w:sz w:val="22"/>
              </w:rPr>
              <w:t>+3.2%</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$621.7M</w:t>
            </w:r>
          </w:p>
        </w:tc>
        <w:tc>
          <w:tcPr>
            <w:tcW w:type="dxa" w:w="1728"/>
          </w:tcPr>
          <w:p>
            <w:r>
              <w:rPr>
                <w:rFonts w:ascii="Calibri" w:hAnsi="Calibri"/>
                <w:sz w:val="22"/>
              </w:rPr>
              <w:t>$607.9M</w:t>
            </w:r>
          </w:p>
        </w:tc>
        <w:tc>
          <w:tcPr>
            <w:tcW w:type="dxa" w:w="1728"/>
          </w:tcPr>
          <w:p>
            <w:r>
              <w:rPr>
                <w:rFonts w:ascii="Calibri" w:hAnsi="Calibri"/>
                <w:b/>
                <w:color w:val="30A46C"/>
                <w:sz w:val="22"/>
              </w:rPr>
              <w:t>+2.3%</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$637.6M</w:t>
            </w:r>
          </w:p>
        </w:tc>
        <w:tc>
          <w:tcPr>
            <w:tcW w:type="dxa" w:w="1728"/>
          </w:tcPr>
          <w:p>
            <w:r>
              <w:rPr>
                <w:rFonts w:ascii="Calibri" w:hAnsi="Calibri"/>
                <w:sz w:val="22"/>
              </w:rPr>
              <w:t>$633.3M</w:t>
            </w:r>
          </w:p>
        </w:tc>
        <w:tc>
          <w:tcPr>
            <w:tcW w:type="dxa" w:w="1728"/>
          </w:tcPr>
          <w:p>
            <w:r>
              <w:rPr>
                <w:rFonts w:ascii="Calibri" w:hAnsi="Calibri"/>
                <w:b/>
                <w:color w:val="30A46C"/>
                <w:sz w:val="22"/>
              </w:rPr>
              <w:t>+0.7%</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$664.6M</w:t>
            </w:r>
          </w:p>
        </w:tc>
        <w:tc>
          <w:tcPr>
            <w:tcW w:type="dxa" w:w="1728"/>
          </w:tcPr>
          <w:p>
            <w:r>
              <w:rPr>
                <w:rFonts w:ascii="Calibri" w:hAnsi="Calibri"/>
                <w:sz w:val="22"/>
              </w:rPr>
              <w:t>$652.1M</w:t>
            </w:r>
          </w:p>
        </w:tc>
        <w:tc>
          <w:tcPr>
            <w:tcW w:type="dxa" w:w="1728"/>
          </w:tcPr>
          <w:p>
            <w:r>
              <w:rPr>
                <w:rFonts w:ascii="Calibri" w:hAnsi="Calibri"/>
                <w:b/>
                <w:color w:val="30A46C"/>
                <w:sz w:val="22"/>
              </w:rPr>
              <w:t>+1.9%</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$737.2M</w:t>
            </w:r>
          </w:p>
        </w:tc>
        <w:tc>
          <w:tcPr>
            <w:tcW w:type="dxa" w:w="1728"/>
          </w:tcPr>
          <w:p>
            <w:r>
              <w:rPr>
                <w:rFonts w:ascii="Calibri" w:hAnsi="Calibri"/>
                <w:sz w:val="22"/>
              </w:rPr>
              <w:t>$722.4M</w:t>
            </w:r>
          </w:p>
        </w:tc>
        <w:tc>
          <w:tcPr>
            <w:tcW w:type="dxa" w:w="1728"/>
          </w:tcPr>
          <w:p>
            <w:r>
              <w:rPr>
                <w:rFonts w:ascii="Calibri" w:hAnsi="Calibri"/>
                <w:b/>
                <w:color w:val="30A46C"/>
                <w:sz w:val="22"/>
              </w:rPr>
              <w:t>+2.0%</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$751.2M</w:t>
            </w:r>
          </w:p>
        </w:tc>
        <w:tc>
          <w:tcPr>
            <w:tcW w:type="dxa" w:w="1728"/>
          </w:tcPr>
          <w:p>
            <w:r>
              <w:rPr>
                <w:rFonts w:ascii="Calibri" w:hAnsi="Calibri"/>
                <w:sz w:val="22"/>
              </w:rPr>
              <w:t>$742.4M</w:t>
            </w:r>
          </w:p>
        </w:tc>
        <w:tc>
          <w:tcPr>
            <w:tcW w:type="dxa" w:w="1728"/>
          </w:tcPr>
          <w:p>
            <w:r>
              <w:rPr>
                <w:rFonts w:ascii="Calibri" w:hAnsi="Calibri"/>
                <w:b/>
                <w:color w:val="30A46C"/>
                <w:sz w:val="22"/>
              </w:rPr>
              <w:t>+1.2%</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$804.2M</w:t>
            </w:r>
          </w:p>
        </w:tc>
        <w:tc>
          <w:tcPr>
            <w:tcW w:type="dxa" w:w="1728"/>
          </w:tcPr>
          <w:p>
            <w:r>
              <w:rPr>
                <w:rFonts w:ascii="Calibri" w:hAnsi="Calibri"/>
                <w:sz w:val="22"/>
              </w:rPr>
              <w:t>$782.0M</w:t>
            </w:r>
          </w:p>
        </w:tc>
        <w:tc>
          <w:tcPr>
            <w:tcW w:type="dxa" w:w="1728"/>
          </w:tcPr>
          <w:p>
            <w:r>
              <w:rPr>
                <w:rFonts w:ascii="Calibri" w:hAnsi="Calibri"/>
                <w:b/>
                <w:color w:val="30A46C"/>
                <w:sz w:val="22"/>
              </w:rPr>
              <w:t>+2.8%</w:t>
            </w:r>
          </w:p>
        </w:tc>
        <w:tc>
          <w:tcPr>
            <w:tcW w:type="dxa" w:w="1728"/>
          </w:tcPr>
          <w:p>
            <w:r>
              <w:rPr>
                <w:rFonts w:ascii="Calibri" w:hAnsi="Calibri"/>
                <w:sz w:val="22"/>
              </w:rPr>
              <w:t>Beat</w:t>
            </w:r>
          </w:p>
        </w:tc>
      </w:tr>
    </w:tbl>
    <w:p>
      <w:pPr>
        <w:pStyle w:val="Heading4"/>
      </w:pPr>
      <w:r>
        <w:rPr>
          <w:rFonts w:ascii="Calibri" w:hAnsi="Calibri"/>
          <w:b/>
          <w:color w:val="3B4259"/>
          <w:sz w:val="22"/>
        </w:rPr>
        <w:t>Non-GAAP Diluted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$3.17</w:t>
            </w:r>
          </w:p>
        </w:tc>
        <w:tc>
          <w:tcPr>
            <w:tcW w:type="dxa" w:w="1728"/>
          </w:tcPr>
          <w:p>
            <w:r>
              <w:rPr>
                <w:rFonts w:ascii="Calibri" w:hAnsi="Calibri"/>
                <w:sz w:val="22"/>
              </w:rPr>
              <w:t>$3.07</w:t>
            </w:r>
          </w:p>
        </w:tc>
        <w:tc>
          <w:tcPr>
            <w:tcW w:type="dxa" w:w="1728"/>
          </w:tcPr>
          <w:p>
            <w:r>
              <w:rPr>
                <w:rFonts w:ascii="Calibri" w:hAnsi="Calibri"/>
                <w:b/>
                <w:color w:val="30A46C"/>
                <w:sz w:val="22"/>
              </w:rPr>
              <w:t>+3.3%</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$4.06</w:t>
            </w:r>
          </w:p>
        </w:tc>
        <w:tc>
          <w:tcPr>
            <w:tcW w:type="dxa" w:w="1728"/>
          </w:tcPr>
          <w:p>
            <w:r>
              <w:rPr>
                <w:rFonts w:ascii="Calibri" w:hAnsi="Calibri"/>
                <w:sz w:val="22"/>
              </w:rPr>
              <w:t>$3.97</w:t>
            </w:r>
          </w:p>
        </w:tc>
        <w:tc>
          <w:tcPr>
            <w:tcW w:type="dxa" w:w="1728"/>
          </w:tcPr>
          <w:p>
            <w:r>
              <w:rPr>
                <w:rFonts w:ascii="Calibri" w:hAnsi="Calibri"/>
                <w:b/>
                <w:color w:val="30A46C"/>
                <w:sz w:val="22"/>
              </w:rPr>
              <w:t>+2.3%</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$4.09</w:t>
            </w:r>
          </w:p>
        </w:tc>
        <w:tc>
          <w:tcPr>
            <w:tcW w:type="dxa" w:w="1728"/>
          </w:tcPr>
          <w:p>
            <w:r>
              <w:rPr>
                <w:rFonts w:ascii="Calibri" w:hAnsi="Calibri"/>
                <w:sz w:val="22"/>
              </w:rPr>
              <w:t>$3.97</w:t>
            </w:r>
          </w:p>
        </w:tc>
        <w:tc>
          <w:tcPr>
            <w:tcW w:type="dxa" w:w="1728"/>
          </w:tcPr>
          <w:p>
            <w:r>
              <w:rPr>
                <w:rFonts w:ascii="Calibri" w:hAnsi="Calibri"/>
                <w:b/>
                <w:color w:val="30A46C"/>
                <w:sz w:val="22"/>
              </w:rPr>
              <w:t>+3.0%</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$4.04</w:t>
            </w:r>
          </w:p>
        </w:tc>
        <w:tc>
          <w:tcPr>
            <w:tcW w:type="dxa" w:w="1728"/>
          </w:tcPr>
          <w:p>
            <w:r>
              <w:rPr>
                <w:rFonts w:ascii="Calibri" w:hAnsi="Calibri"/>
                <w:sz w:val="22"/>
              </w:rPr>
              <w:t>$4.01</w:t>
            </w:r>
          </w:p>
        </w:tc>
        <w:tc>
          <w:tcPr>
            <w:tcW w:type="dxa" w:w="1728"/>
          </w:tcPr>
          <w:p>
            <w:r>
              <w:rPr>
                <w:rFonts w:ascii="Calibri" w:hAnsi="Calibri"/>
                <w:b/>
                <w:color w:val="30A46C"/>
                <w:sz w:val="22"/>
              </w:rPr>
              <w:t>+0.7%</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$4.21</w:t>
            </w:r>
          </w:p>
        </w:tc>
        <w:tc>
          <w:tcPr>
            <w:tcW w:type="dxa" w:w="1728"/>
          </w:tcPr>
          <w:p>
            <w:r>
              <w:rPr>
                <w:rFonts w:ascii="Calibri" w:hAnsi="Calibri"/>
                <w:sz w:val="22"/>
              </w:rPr>
              <w:t>$4.13</w:t>
            </w:r>
          </w:p>
        </w:tc>
        <w:tc>
          <w:tcPr>
            <w:tcW w:type="dxa" w:w="1728"/>
          </w:tcPr>
          <w:p>
            <w:r>
              <w:rPr>
                <w:rFonts w:ascii="Calibri" w:hAnsi="Calibri"/>
                <w:b/>
                <w:color w:val="30A46C"/>
                <w:sz w:val="22"/>
              </w:rPr>
              <w:t>+1.9%</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$4.73</w:t>
            </w:r>
          </w:p>
        </w:tc>
        <w:tc>
          <w:tcPr>
            <w:tcW w:type="dxa" w:w="1728"/>
          </w:tcPr>
          <w:p>
            <w:r>
              <w:rPr>
                <w:rFonts w:ascii="Calibri" w:hAnsi="Calibri"/>
                <w:sz w:val="22"/>
              </w:rPr>
              <w:t>$4.64</w:t>
            </w:r>
          </w:p>
        </w:tc>
        <w:tc>
          <w:tcPr>
            <w:tcW w:type="dxa" w:w="1728"/>
          </w:tcPr>
          <w:p>
            <w:r>
              <w:rPr>
                <w:rFonts w:ascii="Calibri" w:hAnsi="Calibri"/>
                <w:b/>
                <w:color w:val="30A46C"/>
                <w:sz w:val="22"/>
              </w:rPr>
              <w:t>+1.9%</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$4.79</w:t>
            </w:r>
          </w:p>
        </w:tc>
        <w:tc>
          <w:tcPr>
            <w:tcW w:type="dxa" w:w="1728"/>
          </w:tcPr>
          <w:p>
            <w:r>
              <w:rPr>
                <w:rFonts w:ascii="Calibri" w:hAnsi="Calibri"/>
                <w:sz w:val="22"/>
              </w:rPr>
              <w:t>$4.74</w:t>
            </w:r>
          </w:p>
        </w:tc>
        <w:tc>
          <w:tcPr>
            <w:tcW w:type="dxa" w:w="1728"/>
          </w:tcPr>
          <w:p>
            <w:r>
              <w:rPr>
                <w:rFonts w:ascii="Calibri" w:hAnsi="Calibri"/>
                <w:b/>
                <w:color w:val="30A46C"/>
                <w:sz w:val="22"/>
              </w:rPr>
              <w:t>+1.1%</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$5.10</w:t>
            </w:r>
          </w:p>
        </w:tc>
        <w:tc>
          <w:tcPr>
            <w:tcW w:type="dxa" w:w="1728"/>
          </w:tcPr>
          <w:p>
            <w:r>
              <w:rPr>
                <w:rFonts w:ascii="Calibri" w:hAnsi="Calibri"/>
                <w:sz w:val="22"/>
              </w:rPr>
              <w:t>$4.90</w:t>
            </w:r>
          </w:p>
        </w:tc>
        <w:tc>
          <w:tcPr>
            <w:tcW w:type="dxa" w:w="1728"/>
          </w:tcPr>
          <w:p>
            <w:r>
              <w:rPr>
                <w:rFonts w:ascii="Calibri" w:hAnsi="Calibri"/>
                <w:b/>
                <w:color w:val="30A46C"/>
                <w:sz w:val="22"/>
              </w:rPr>
              <w:t>+4.1%</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MPWR has beaten consensus on both revenue and non-GAAP EPS in each of the last 8 consecutive quarters, with revenue beats averaging ~2.2% and EPS beats averaging ~2.3% — a consistent but not dramatic outperformance cadence that suggests the Street has learned to set a slightly conservative bar.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unchanged since the April 30 Q1 earnings call — no 8-K, conference update, or pre-announcement has altered the Q2 revenue or gross margin range. Management's tone was confident on Enterprise Data but explicitly cautious on H2 gross margins, a posture that has not shifted.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$890M – $910M (mid: $900M)</w:t>
            </w:r>
          </w:p>
        </w:tc>
        <w:tc>
          <w:tcPr>
            <w:tcW w:type="dxa" w:w="1728"/>
          </w:tcPr>
          <w:p>
            <w:r>
              <w:rPr>
                <w:rFonts w:ascii="Calibri" w:hAnsi="Calibri"/>
                <w:sz w:val="22"/>
              </w:rPr>
              <w:t>—</w:t>
            </w:r>
          </w:p>
        </w:tc>
        <w:tc>
          <w:tcPr>
            <w:tcW w:type="dxa" w:w="1728"/>
          </w:tcPr>
          <w:p>
            <w:r>
              <w:rPr>
                <w:rFonts w:ascii="Calibri" w:hAnsi="Calibri"/>
                <w:sz w:val="22"/>
              </w:rPr>
              <w:t>$903.3M</w:t>
            </w:r>
          </w:p>
        </w:tc>
        <w:tc>
          <w:tcPr>
            <w:tcW w:type="dxa" w:w="1728"/>
          </w:tcPr>
          <w:p>
            <w:r>
              <w:rPr>
                <w:rFonts w:ascii="Calibri" w:hAnsi="Calibri"/>
                <w:sz w:val="22"/>
              </w:rPr>
              <w:t>Unchanged; consensus at midpoint. No post-earnings update.</w:t>
            </w:r>
          </w:p>
        </w:tc>
      </w:tr>
      <w:tr>
        <w:tc>
          <w:tcPr>
            <w:tcW w:type="dxa" w:w="1728"/>
          </w:tcPr>
          <w:p>
            <w:r>
              <w:rPr>
                <w:rFonts w:ascii="Calibri" w:hAnsi="Calibri"/>
                <w:sz w:val="22"/>
              </w:rPr>
              <w:t>Q2 2026 Non-GAAP Gross Margin</w:t>
            </w:r>
          </w:p>
        </w:tc>
        <w:tc>
          <w:tcPr>
            <w:tcW w:type="dxa" w:w="1728"/>
          </w:tcPr>
          <w:p>
            <w:r>
              <w:rPr>
                <w:rFonts w:ascii="Calibri" w:hAnsi="Calibri"/>
                <w:sz w:val="22"/>
              </w:rPr>
              <w:t>55.3% – 55.9% (mid: 55.6%)</w:t>
            </w:r>
          </w:p>
        </w:tc>
        <w:tc>
          <w:tcPr>
            <w:tcW w:type="dxa" w:w="1728"/>
          </w:tcPr>
          <w:p>
            <w:r>
              <w:rPr>
                <w:rFonts w:ascii="Calibri" w:hAnsi="Calibri"/>
                <w:sz w:val="22"/>
              </w:rPr>
              <w:t>—</w:t>
            </w:r>
          </w:p>
        </w:tc>
        <w:tc>
          <w:tcPr>
            <w:tcW w:type="dxa" w:w="1728"/>
          </w:tcPr>
          <w:p>
            <w:r>
              <w:rPr>
                <w:rFonts w:ascii="Calibri" w:hAnsi="Calibri"/>
                <w:sz w:val="22"/>
              </w:rPr>
              <w:t>~55.6% (implied)</w:t>
            </w:r>
          </w:p>
        </w:tc>
        <w:tc>
          <w:tcPr>
            <w:tcW w:type="dxa" w:w="1728"/>
          </w:tcPr>
          <w:p>
            <w:r>
              <w:rPr>
                <w:rFonts w:ascii="Calibri" w:hAnsi="Calibri"/>
                <w:sz w:val="22"/>
              </w:rPr>
              <w:t>Unchanged; incremental improvement from Q1's 55.5% guided on better backlog visibility.</w:t>
            </w:r>
          </w:p>
        </w:tc>
      </w:tr>
      <w:tr>
        <w:tc>
          <w:tcPr>
            <w:tcW w:type="dxa" w:w="1728"/>
          </w:tcPr>
          <w:p>
            <w:r>
              <w:rPr>
                <w:rFonts w:ascii="Calibri" w:hAnsi="Calibri"/>
                <w:sz w:val="22"/>
              </w:rPr>
              <w:t>Q2 2026 Non-GAAP Opex</w:t>
            </w:r>
          </w:p>
        </w:tc>
        <w:tc>
          <w:tcPr>
            <w:tcW w:type="dxa" w:w="1728"/>
          </w:tcPr>
          <w:p>
            <w:r>
              <w:rPr>
                <w:rFonts w:ascii="Calibri" w:hAnsi="Calibri"/>
                <w:sz w:val="22"/>
              </w:rPr>
              <w:t>$167M – $171M</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Unchanged; SBC guided $52.1M–$54.1M.</w:t>
            </w:r>
          </w:p>
        </w:tc>
      </w:tr>
      <w:tr>
        <w:tc>
          <w:tcPr>
            <w:tcW w:type="dxa" w:w="1728"/>
          </w:tcPr>
          <w:p>
            <w:r>
              <w:rPr>
                <w:rFonts w:ascii="Calibri" w:hAnsi="Calibri"/>
                <w:sz w:val="22"/>
              </w:rPr>
              <w:t>FY 2026 Enterprise Data Growth Floor</w:t>
            </w:r>
          </w:p>
        </w:tc>
        <w:tc>
          <w:tcPr>
            <w:tcW w:type="dxa" w:w="1728"/>
          </w:tcPr>
          <w:p>
            <w:r>
              <w:rPr>
                <w:rFonts w:ascii="Calibri" w:hAnsi="Calibri"/>
                <w:sz w:val="22"/>
              </w:rPr>
              <w:t>~85% YoY (raised from ~50% at Q4 2025 call)</w:t>
            </w:r>
          </w:p>
        </w:tc>
        <w:tc>
          <w:tcPr>
            <w:tcW w:type="dxa" w:w="1728"/>
          </w:tcPr>
          <w:p>
            <w:r>
              <w:rPr>
                <w:rFonts w:ascii="Calibri" w:hAnsi="Calibri"/>
                <w:sz w:val="22"/>
              </w:rPr>
              <w:t>—</w:t>
            </w:r>
          </w:p>
        </w:tc>
        <w:tc>
          <w:tcPr>
            <w:tcW w:type="dxa" w:w="1728"/>
          </w:tcPr>
          <w:p>
            <w:r>
              <w:rPr>
                <w:rFonts w:ascii="Calibri" w:hAnsi="Calibri"/>
                <w:sz w:val="22"/>
              </w:rPr>
              <w:t>Implied ~$1.33B FY 2026 consensus</w:t>
            </w:r>
          </w:p>
        </w:tc>
        <w:tc>
          <w:tcPr>
            <w:tcW w:type="dxa" w:w="1728"/>
          </w:tcPr>
          <w:p>
            <w:r>
              <w:rPr>
                <w:rFonts w:ascii="Calibri" w:hAnsi="Calibri"/>
                <w:sz w:val="22"/>
              </w:rPr>
              <w:t>Unchanged; management attributed raise to extended backlog visibility, not a change in growth drivers.</w:t>
            </w:r>
          </w:p>
        </w:tc>
      </w:tr>
      <w:tr>
        <w:tc>
          <w:tcPr>
            <w:tcW w:type="dxa" w:w="1728"/>
          </w:tcPr>
          <w:p>
            <w:r>
              <w:rPr>
                <w:rFonts w:ascii="Calibri" w:hAnsi="Calibri"/>
                <w:sz w:val="22"/>
              </w:rPr>
              <w:t>H2 2026 Gross Margin Tone</w:t>
            </w:r>
          </w:p>
        </w:tc>
        <w:tc>
          <w:tcPr>
            <w:tcW w:type="dxa" w:w="1728"/>
          </w:tcPr>
          <w:p>
            <w:r>
              <w:rPr>
                <w:rFonts w:ascii="Calibri" w:hAnsi="Calibri"/>
                <w:sz w:val="22"/>
              </w:rPr>
              <w:t>Cautious; “strong headwinds potentially in the second half”</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update since Q1 call; key watch item for Q2 call.</w:t>
            </w:r>
          </w:p>
        </w:tc>
      </w:tr>
      <w:tr>
        <w:tc>
          <w:tcPr>
            <w:tcW w:type="dxa" w:w="1728"/>
          </w:tcPr>
          <w:p>
            <w:r>
              <w:rPr>
                <w:rFonts w:ascii="Calibri" w:hAnsi="Calibri"/>
                <w:sz w:val="22"/>
              </w:rPr>
              <w:t>Manufacturing Capacity Target</w:t>
            </w:r>
          </w:p>
        </w:tc>
        <w:tc>
          <w:tcPr>
            <w:tcW w:type="dxa" w:w="1728"/>
          </w:tcPr>
          <w:p>
            <w:r>
              <w:rPr>
                <w:rFonts w:ascii="Calibri" w:hAnsi="Calibri"/>
                <w:sz w:val="22"/>
              </w:rPr>
              <w:t>Raised to $6B (from $4B original plan)</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reflects confidence in long-term demand trajectory.</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 2026 have been remarkably stable since the post-Q1 baseline — revenue and EPS have moved less than 0.3% in either direction — suggesting the Street is anchored to guidance rather than independently revising. The FY 2026 Enterprise Data consensus of ~$1.33B implies ~$1.01B in H2, which requires the ~85% YoY growth floor to hold; any management commentary softening that floor would be a meaningful negative catalyst.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7, 2026)</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$901.3M</w:t>
            </w:r>
          </w:p>
        </w:tc>
        <w:tc>
          <w:tcPr>
            <w:tcW w:type="dxa" w:w="1080"/>
          </w:tcPr>
          <w:p>
            <w:r>
              <w:rPr>
                <w:rFonts w:ascii="Calibri" w:hAnsi="Calibri"/>
                <w:sz w:val="22"/>
              </w:rPr>
              <w:t>$903.3M</w:t>
            </w:r>
          </w:p>
        </w:tc>
        <w:tc>
          <w:tcPr>
            <w:tcW w:type="dxa" w:w="1080"/>
          </w:tcPr>
          <w:p>
            <w:r>
              <w:rPr>
                <w:rFonts w:ascii="Calibri" w:hAnsi="Calibri"/>
                <w:sz w:val="22"/>
              </w:rPr>
              <w:t>+0.2%</w:t>
            </w:r>
          </w:p>
        </w:tc>
        <w:tc>
          <w:tcPr>
            <w:tcW w:type="dxa" w:w="1080"/>
          </w:tcPr>
          <w:p>
            <w:r>
              <w:rPr>
                <w:rFonts w:ascii="Calibri" w:hAnsi="Calibri"/>
                <w:sz w:val="22"/>
              </w:rPr>
              <w:t>$890M–$910M (mid: $900M)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+0.4% vs. mid</w:t>
            </w:r>
          </w:p>
        </w:tc>
      </w:tr>
      <w:tr>
        <w:tc>
          <w:tcPr>
            <w:tcW w:type="dxa" w:w="1080"/>
          </w:tcPr>
          <w:p>
            <w:r>
              <w:rPr>
                <w:rFonts w:ascii="Calibri" w:hAnsi="Calibri"/>
                <w:sz w:val="22"/>
              </w:rPr>
              <w:t>Total Revenue — FY 2026</w:t>
            </w:r>
          </w:p>
        </w:tc>
        <w:tc>
          <w:tcPr>
            <w:tcW w:type="dxa" w:w="1080"/>
          </w:tcPr>
          <w:p>
            <w:r>
              <w:rPr>
                <w:rFonts w:ascii="Calibri" w:hAnsi="Calibri"/>
                <w:sz w:val="22"/>
              </w:rPr>
              <w:t>$3,694.5M</w:t>
            </w:r>
          </w:p>
        </w:tc>
        <w:tc>
          <w:tcPr>
            <w:tcW w:type="dxa" w:w="1080"/>
          </w:tcPr>
          <w:p>
            <w:r>
              <w:rPr>
                <w:rFonts w:ascii="Calibri" w:hAnsi="Calibri"/>
                <w:sz w:val="22"/>
              </w:rPr>
              <w:t>$3,712.6M</w:t>
            </w:r>
          </w:p>
        </w:tc>
        <w:tc>
          <w:tcPr>
            <w:tcW w:type="dxa" w:w="1080"/>
          </w:tcPr>
          <w:p>
            <w:r>
              <w:rPr>
                <w:rFonts w:ascii="Calibri" w:hAnsi="Calibri"/>
                <w:sz w:val="22"/>
              </w:rPr>
              <w:t>+0.5%</w:t>
            </w:r>
          </w:p>
        </w:tc>
        <w:tc>
          <w:tcPr>
            <w:tcW w:type="dxa" w:w="1080"/>
          </w:tcPr>
          <w:p>
            <w:r>
              <w:rPr>
                <w:rFonts w:ascii="Calibri" w:hAnsi="Calibri"/>
                <w:sz w:val="22"/>
              </w:rPr>
              <w:t>N/A (no explicit FY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Non-GAAP EPS — Q2 2026</w:t>
            </w:r>
          </w:p>
        </w:tc>
        <w:tc>
          <w:tcPr>
            <w:tcW w:type="dxa" w:w="1080"/>
          </w:tcPr>
          <w:p>
            <w:r>
              <w:rPr>
                <w:rFonts w:ascii="Calibri" w:hAnsi="Calibri"/>
                <w:sz w:val="22"/>
              </w:rPr>
              <w:t>$5.85</w:t>
            </w:r>
          </w:p>
        </w:tc>
        <w:tc>
          <w:tcPr>
            <w:tcW w:type="dxa" w:w="1080"/>
          </w:tcPr>
          <w:p>
            <w:r>
              <w:rPr>
                <w:rFonts w:ascii="Calibri" w:hAnsi="Calibri"/>
                <w:sz w:val="22"/>
              </w:rPr>
              <w:t>$5.87</w:t>
            </w:r>
          </w:p>
        </w:tc>
        <w:tc>
          <w:tcPr>
            <w:tcW w:type="dxa" w:w="1080"/>
          </w:tcPr>
          <w:p>
            <w:r>
              <w:rPr>
                <w:rFonts w:ascii="Calibri" w:hAnsi="Calibri"/>
                <w:sz w:val="22"/>
              </w:rPr>
              <w:t>+0.4%</w:t>
            </w:r>
          </w:p>
        </w:tc>
        <w:tc>
          <w:tcPr>
            <w:tcW w:type="dxa" w:w="1080"/>
          </w:tcPr>
          <w:p>
            <w:r>
              <w:rPr>
                <w:rFonts w:ascii="Calibri" w:hAnsi="Calibri"/>
                <w:sz w:val="22"/>
              </w:rPr>
              <w:t>N/A (not explicitly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Non-GAAP EPS — FY 2026</w:t>
            </w:r>
          </w:p>
        </w:tc>
        <w:tc>
          <w:tcPr>
            <w:tcW w:type="dxa" w:w="1080"/>
          </w:tcPr>
          <w:p>
            <w:r>
              <w:rPr>
                <w:rFonts w:ascii="Calibri" w:hAnsi="Calibri"/>
                <w:sz w:val="22"/>
              </w:rPr>
              <w:t>$23.97</w:t>
            </w:r>
          </w:p>
        </w:tc>
        <w:tc>
          <w:tcPr>
            <w:tcW w:type="dxa" w:w="1080"/>
          </w:tcPr>
          <w:p>
            <w:r>
              <w:rPr>
                <w:rFonts w:ascii="Calibri" w:hAnsi="Calibri"/>
                <w:sz w:val="22"/>
              </w:rPr>
              <w:t>$24.16</w:t>
            </w:r>
          </w:p>
        </w:tc>
        <w:tc>
          <w:tcPr>
            <w:tcW w:type="dxa" w:w="1080"/>
          </w:tcPr>
          <w:p>
            <w:r>
              <w:rPr>
                <w:rFonts w:ascii="Calibri" w:hAnsi="Calibri"/>
                <w:sz w:val="22"/>
              </w:rPr>
              <w:t>+0.8%</w:t>
            </w:r>
          </w:p>
        </w:tc>
        <w:tc>
          <w:tcPr>
            <w:tcW w:type="dxa" w:w="1080"/>
          </w:tcPr>
          <w:p>
            <w:r>
              <w:rPr>
                <w:rFonts w:ascii="Calibri" w:hAnsi="Calibri"/>
                <w:sz w:val="22"/>
              </w:rPr>
              <w:t>N/A (no explicit FY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Enterprise Data Revenue — Q2 2026</w:t>
            </w:r>
          </w:p>
        </w:tc>
        <w:tc>
          <w:tcPr>
            <w:tcW w:type="dxa" w:w="1080"/>
          </w:tcPr>
          <w:p>
            <w:r>
              <w:rPr>
                <w:rFonts w:ascii="Calibri" w:hAnsi="Calibri"/>
                <w:sz w:val="22"/>
              </w:rPr>
              <w:t>$315.2M</w:t>
            </w:r>
          </w:p>
        </w:tc>
        <w:tc>
          <w:tcPr>
            <w:tcW w:type="dxa" w:w="1080"/>
          </w:tcPr>
          <w:p>
            <w:r>
              <w:rPr>
                <w:rFonts w:ascii="Calibri" w:hAnsi="Calibri"/>
                <w:sz w:val="22"/>
              </w:rPr>
              <w:t>$319.4M</w:t>
            </w:r>
          </w:p>
        </w:tc>
        <w:tc>
          <w:tcPr>
            <w:tcW w:type="dxa" w:w="1080"/>
          </w:tcPr>
          <w:p>
            <w:r>
              <w:rPr>
                <w:rFonts w:ascii="Calibri" w:hAnsi="Calibri"/>
                <w:sz w:val="22"/>
              </w:rPr>
              <w:t>+1.3%</w:t>
            </w:r>
          </w:p>
        </w:tc>
        <w:tc>
          <w:tcPr>
            <w:tcW w:type="dxa" w:w="1080"/>
          </w:tcPr>
          <w:p>
            <w:r>
              <w:rPr>
                <w:rFonts w:ascii="Calibri" w:hAnsi="Calibri"/>
                <w:sz w:val="22"/>
              </w:rPr>
              <w:t>N/A (segment not guided explicitly)</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Enterprise Data Revenue — FY 2026</w:t>
            </w:r>
          </w:p>
        </w:tc>
        <w:tc>
          <w:tcPr>
            <w:tcW w:type="dxa" w:w="1080"/>
          </w:tcPr>
          <w:p>
            <w:r>
              <w:rPr>
                <w:rFonts w:ascii="Calibri" w:hAnsi="Calibri"/>
                <w:sz w:val="22"/>
              </w:rPr>
              <w:t>$1,310.4M</w:t>
            </w:r>
          </w:p>
        </w:tc>
        <w:tc>
          <w:tcPr>
            <w:tcW w:type="dxa" w:w="1080"/>
          </w:tcPr>
          <w:p>
            <w:r>
              <w:rPr>
                <w:rFonts w:ascii="Calibri" w:hAnsi="Calibri"/>
                <w:sz w:val="22"/>
              </w:rPr>
              <w:t>$1,333.9M</w:t>
            </w:r>
          </w:p>
        </w:tc>
        <w:tc>
          <w:tcPr>
            <w:tcW w:type="dxa" w:w="1080"/>
          </w:tcPr>
          <w:p>
            <w:r>
              <w:rPr>
                <w:rFonts w:ascii="Calibri" w:hAnsi="Calibri"/>
                <w:sz w:val="22"/>
              </w:rPr>
              <w:t>+1.8%</w:t>
            </w:r>
          </w:p>
        </w:tc>
        <w:tc>
          <w:tcPr>
            <w:tcW w:type="dxa" w:w="1080"/>
          </w:tcPr>
          <w:p>
            <w:r>
              <w:rPr>
                <w:rFonts w:ascii="Calibri" w:hAnsi="Calibri"/>
                <w:sz w:val="22"/>
              </w:rPr>
              <w:t>~85% YoY growth floor (~$1.28B+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+4.2% above floor</w:t>
            </w:r>
          </w:p>
        </w:tc>
      </w:tr>
    </w:tbl>
    <w:p>
      <w:r>
        <w:rPr>
          <w:rFonts w:ascii="Calibri" w:hAnsi="Calibri"/>
          <w:color w:val="525866"/>
          <w:sz w:val="22"/>
        </w:rPr>
        <w:t>Source: Visible Alpha Consensus and Actuals Data. Post-Q1 baseline uses consensus as of May 7–8, 2026 (~5 trading days after April 30 earnings). Current consensus as of July 29, 2026. The near-zero revision drift across all KPIs confirms the Street is anchored to guidance; the modest upward creep in Enterprise Data (+1.3% for Q2, +1.8% for FY) likely reflects positive peer read-throughs from TXN and SWKS in late July.</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MPWR has significantly underperformed SOXX since Q1 earnings, declining ~23% vs. SOXX's +0.8% gain (indexed), driven almost entirely by multiple compression (NTM P/E from ~57x to ~46x) rather than estimate cuts — a setup that lowers the bar for a positive reaction on July 30.</w:t>
      </w:r>
    </w:p>
    <w:p>
      <w:pPr>
        <w:pStyle w:val="Heading3"/>
      </w:pPr>
      <w:r>
        <w:rPr>
          <w:rFonts w:ascii="Calibri" w:hAnsi="Calibri"/>
          <w:b/>
          <w:color w:val="3B4259"/>
          <w:sz w:val="24"/>
        </w:rPr>
        <w:t>Indexed Price Performance Since Q1 Earnings (April 30, 2026 = 100)</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 / Event</w:t>
            </w:r>
          </w:p>
        </w:tc>
        <w:tc>
          <w:tcPr>
            <w:tcW w:type="dxa" w:w="1728"/>
            <w:shd w:val="clear" w:color="auto" w:fill="3B4259"/>
          </w:tcPr>
          <w:p>
            <w:r>
              <w:rPr>
                <w:rFonts w:ascii="Calibri" w:hAnsi="Calibri"/>
                <w:b/>
                <w:color w:val="FFFFFF"/>
                <w:sz w:val="22"/>
              </w:rPr>
              <w:t>MPWR (Indexed)</w:t>
            </w:r>
          </w:p>
        </w:tc>
        <w:tc>
          <w:tcPr>
            <w:tcW w:type="dxa" w:w="1728"/>
            <w:shd w:val="clear" w:color="auto" w:fill="3B4259"/>
          </w:tcPr>
          <w:p>
            <w:r>
              <w:rPr>
                <w:rFonts w:ascii="Calibri" w:hAnsi="Calibri"/>
                <w:b/>
                <w:color w:val="FFFFFF"/>
                <w:sz w:val="22"/>
              </w:rPr>
              <w:t>SOXX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Apr 30, 2026 (Q1 Earnings)</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Baseline; MPWR closed at $1,614.41</w:t>
            </w:r>
          </w:p>
        </w:tc>
      </w:tr>
      <w:tr>
        <w:tc>
          <w:tcPr>
            <w:tcW w:type="dxa" w:w="1728"/>
          </w:tcPr>
          <w:p>
            <w:r>
              <w:rPr>
                <w:rFonts w:ascii="Calibri" w:hAnsi="Calibri"/>
                <w:sz w:val="22"/>
              </w:rPr>
              <w:t>May 26, 2026 (Peak)</w:t>
            </w:r>
          </w:p>
        </w:tc>
        <w:tc>
          <w:tcPr>
            <w:tcW w:type="dxa" w:w="1728"/>
          </w:tcPr>
          <w:p>
            <w:r>
              <w:rPr>
                <w:rFonts w:ascii="Calibri" w:hAnsi="Calibri"/>
                <w:sz w:val="22"/>
              </w:rPr>
              <w:t>103.0</w:t>
            </w:r>
          </w:p>
        </w:tc>
        <w:tc>
          <w:tcPr>
            <w:tcW w:type="dxa" w:w="1728"/>
          </w:tcPr>
          <w:p>
            <w:r>
              <w:rPr>
                <w:rFonts w:ascii="Calibri" w:hAnsi="Calibri"/>
                <w:sz w:val="22"/>
              </w:rPr>
              <w:t>123.6</w:t>
            </w:r>
          </w:p>
        </w:tc>
        <w:tc>
          <w:tcPr>
            <w:tcW w:type="dxa" w:w="1728"/>
          </w:tcPr>
          <w:p>
            <w:r>
              <w:rPr>
                <w:rFonts w:ascii="Calibri" w:hAnsi="Calibri"/>
                <w:sz w:val="22"/>
              </w:rPr>
              <w:t>104.4</w:t>
            </w:r>
          </w:p>
        </w:tc>
        <w:tc>
          <w:tcPr>
            <w:tcW w:type="dxa" w:w="1728"/>
          </w:tcPr>
          <w:p>
            <w:r>
              <w:rPr>
                <w:rFonts w:ascii="Calibri" w:hAnsi="Calibri"/>
                <w:sz w:val="22"/>
              </w:rPr>
              <w:t>MPWR peaked at ~$1,663; SOXX surged on AI chip enthusiasm</w:t>
            </w:r>
          </w:p>
        </w:tc>
      </w:tr>
      <w:tr>
        <w:tc>
          <w:tcPr>
            <w:tcW w:type="dxa" w:w="1728"/>
          </w:tcPr>
          <w:p>
            <w:r>
              <w:rPr>
                <w:rFonts w:ascii="Calibri" w:hAnsi="Calibri"/>
                <w:sz w:val="22"/>
              </w:rPr>
              <w:t>Jun 5, 2026</w:t>
            </w:r>
          </w:p>
        </w:tc>
        <w:tc>
          <w:tcPr>
            <w:tcW w:type="dxa" w:w="1728"/>
          </w:tcPr>
          <w:p>
            <w:r>
              <w:rPr>
                <w:rFonts w:ascii="Calibri" w:hAnsi="Calibri"/>
                <w:sz w:val="22"/>
              </w:rPr>
              <w:t>91.7</w:t>
            </w:r>
          </w:p>
        </w:tc>
        <w:tc>
          <w:tcPr>
            <w:tcW w:type="dxa" w:w="1728"/>
          </w:tcPr>
          <w:p>
            <w:r>
              <w:rPr>
                <w:rFonts w:ascii="Calibri" w:hAnsi="Calibri"/>
                <w:sz w:val="22"/>
              </w:rPr>
              <w:t>117.0</w:t>
            </w:r>
          </w:p>
        </w:tc>
        <w:tc>
          <w:tcPr>
            <w:tcW w:type="dxa" w:w="1728"/>
          </w:tcPr>
          <w:p>
            <w:r>
              <w:rPr>
                <w:rFonts w:ascii="Calibri" w:hAnsi="Calibri"/>
                <w:sz w:val="22"/>
              </w:rPr>
              <w:t>102.6</w:t>
            </w:r>
          </w:p>
        </w:tc>
        <w:tc>
          <w:tcPr>
            <w:tcW w:type="dxa" w:w="1728"/>
          </w:tcPr>
          <w:p>
            <w:r>
              <w:rPr>
                <w:rFonts w:ascii="Calibri" w:hAnsi="Calibri"/>
                <w:sz w:val="22"/>
              </w:rPr>
              <w:t>Sharp MPWR selloff; broader tech volatility</w:t>
            </w:r>
          </w:p>
        </w:tc>
      </w:tr>
      <w:tr>
        <w:tc>
          <w:tcPr>
            <w:tcW w:type="dxa" w:w="1728"/>
          </w:tcPr>
          <w:p>
            <w:r>
              <w:rPr>
                <w:rFonts w:ascii="Calibri" w:hAnsi="Calibri"/>
                <w:sz w:val="22"/>
              </w:rPr>
              <w:t>Jun 26, 2026</w:t>
            </w:r>
          </w:p>
        </w:tc>
        <w:tc>
          <w:tcPr>
            <w:tcW w:type="dxa" w:w="1728"/>
          </w:tcPr>
          <w:p>
            <w:r>
              <w:rPr>
                <w:rFonts w:ascii="Calibri" w:hAnsi="Calibri"/>
                <w:sz w:val="22"/>
              </w:rPr>
              <w:t>81.3</w:t>
            </w:r>
          </w:p>
        </w:tc>
        <w:tc>
          <w:tcPr>
            <w:tcW w:type="dxa" w:w="1728"/>
          </w:tcPr>
          <w:p>
            <w:r>
              <w:rPr>
                <w:rFonts w:ascii="Calibri" w:hAnsi="Calibri"/>
                <w:sz w:val="22"/>
              </w:rPr>
              <w:t>127.8</w:t>
            </w:r>
          </w:p>
        </w:tc>
        <w:tc>
          <w:tcPr>
            <w:tcW w:type="dxa" w:w="1728"/>
          </w:tcPr>
          <w:p>
            <w:r>
              <w:rPr>
                <w:rFonts w:ascii="Calibri" w:hAnsi="Calibri"/>
                <w:sz w:val="22"/>
              </w:rPr>
              <w:t>101.4</w:t>
            </w:r>
          </w:p>
        </w:tc>
        <w:tc>
          <w:tcPr>
            <w:tcW w:type="dxa" w:w="1728"/>
          </w:tcPr>
          <w:p>
            <w:r>
              <w:rPr>
                <w:rFonts w:ascii="Calibri" w:hAnsi="Calibri"/>
                <w:sz w:val="22"/>
              </w:rPr>
              <w:t>MPWR hit ~$1,313; SOXX near highs; divergence widened</w:t>
            </w:r>
          </w:p>
        </w:tc>
      </w:tr>
      <w:tr>
        <w:tc>
          <w:tcPr>
            <w:tcW w:type="dxa" w:w="1728"/>
          </w:tcPr>
          <w:p>
            <w:r>
              <w:rPr>
                <w:rFonts w:ascii="Calibri" w:hAnsi="Calibri"/>
                <w:sz w:val="22"/>
              </w:rPr>
              <w:t>Jul 22, 2026 (TXN Earnings)</w:t>
            </w:r>
          </w:p>
        </w:tc>
        <w:tc>
          <w:tcPr>
            <w:tcW w:type="dxa" w:w="1728"/>
          </w:tcPr>
          <w:p>
            <w:r>
              <w:rPr>
                <w:rFonts w:ascii="Calibri" w:hAnsi="Calibri"/>
                <w:sz w:val="22"/>
              </w:rPr>
              <w:t>86.6</w:t>
            </w:r>
          </w:p>
        </w:tc>
        <w:tc>
          <w:tcPr>
            <w:tcW w:type="dxa" w:w="1728"/>
          </w:tcPr>
          <w:p>
            <w:r>
              <w:rPr>
                <w:rFonts w:ascii="Calibri" w:hAnsi="Calibri"/>
                <w:sz w:val="22"/>
              </w:rPr>
              <w:t>120.4</w:t>
            </w:r>
          </w:p>
        </w:tc>
        <w:tc>
          <w:tcPr>
            <w:tcW w:type="dxa" w:w="1728"/>
          </w:tcPr>
          <w:p>
            <w:r>
              <w:rPr>
                <w:rFonts w:ascii="Calibri" w:hAnsi="Calibri"/>
                <w:sz w:val="22"/>
              </w:rPr>
              <w:t>104.0</w:t>
            </w:r>
          </w:p>
        </w:tc>
        <w:tc>
          <w:tcPr>
            <w:tcW w:type="dxa" w:w="1728"/>
          </w:tcPr>
          <w:p>
            <w:r>
              <w:rPr>
                <w:rFonts w:ascii="Calibri" w:hAnsi="Calibri"/>
                <w:sz w:val="22"/>
              </w:rPr>
              <w:t>TXN beat; data center doubled YoY; modest MPWR recovery</w:t>
            </w:r>
          </w:p>
        </w:tc>
      </w:tr>
      <w:tr>
        <w:tc>
          <w:tcPr>
            <w:tcW w:type="dxa" w:w="1728"/>
          </w:tcPr>
          <w:p>
            <w:r>
              <w:rPr>
                <w:rFonts w:ascii="Calibri" w:hAnsi="Calibri"/>
                <w:sz w:val="22"/>
              </w:rPr>
              <w:t>Jul 28, 2026 (SWKS Earnings)</w:t>
            </w:r>
          </w:p>
        </w:tc>
        <w:tc>
          <w:tcPr>
            <w:tcW w:type="dxa" w:w="1728"/>
          </w:tcPr>
          <w:p>
            <w:r>
              <w:rPr>
                <w:rFonts w:ascii="Calibri" w:hAnsi="Calibri"/>
                <w:sz w:val="22"/>
              </w:rPr>
              <w:t>79.4</w:t>
            </w:r>
          </w:p>
        </w:tc>
        <w:tc>
          <w:tcPr>
            <w:tcW w:type="dxa" w:w="1728"/>
          </w:tcPr>
          <w:p>
            <w:r>
              <w:rPr>
                <w:rFonts w:ascii="Calibri" w:hAnsi="Calibri"/>
                <w:sz w:val="22"/>
              </w:rPr>
              <w:t>106.5</w:t>
            </w:r>
          </w:p>
        </w:tc>
        <w:tc>
          <w:tcPr>
            <w:tcW w:type="dxa" w:w="1728"/>
          </w:tcPr>
          <w:p>
            <w:r>
              <w:rPr>
                <w:rFonts w:ascii="Calibri" w:hAnsi="Calibri"/>
                <w:sz w:val="22"/>
              </w:rPr>
              <w:t>103.1</w:t>
            </w:r>
          </w:p>
        </w:tc>
        <w:tc>
          <w:tcPr>
            <w:tcW w:type="dxa" w:w="1728"/>
          </w:tcPr>
          <w:p>
            <w:r>
              <w:rPr>
                <w:rFonts w:ascii="Calibri" w:hAnsi="Calibri"/>
                <w:sz w:val="22"/>
              </w:rPr>
              <w:t>SWKS beat; chipmaker selloff dragged MPWR lower</w:t>
            </w:r>
          </w:p>
        </w:tc>
      </w:tr>
      <w:tr>
        <w:tc>
          <w:tcPr>
            <w:tcW w:type="dxa" w:w="1728"/>
          </w:tcPr>
          <w:p>
            <w:r>
              <w:rPr>
                <w:rFonts w:ascii="Calibri" w:hAnsi="Calibri"/>
                <w:sz w:val="22"/>
              </w:rPr>
              <w:t>Jul 29, 2026 (Day Before Earnings)</w:t>
            </w:r>
          </w:p>
        </w:tc>
        <w:tc>
          <w:tcPr>
            <w:tcW w:type="dxa" w:w="1728"/>
          </w:tcPr>
          <w:p>
            <w:r>
              <w:rPr>
                <w:rFonts w:ascii="Calibri" w:hAnsi="Calibri"/>
                <w:sz w:val="22"/>
              </w:rPr>
              <w:t>77.3</w:t>
            </w:r>
          </w:p>
        </w:tc>
        <w:tc>
          <w:tcPr>
            <w:tcW w:type="dxa" w:w="1728"/>
          </w:tcPr>
          <w:p>
            <w:r>
              <w:rPr>
                <w:rFonts w:ascii="Calibri" w:hAnsi="Calibri"/>
                <w:sz w:val="22"/>
              </w:rPr>
              <w:t>100.8</w:t>
            </w:r>
          </w:p>
        </w:tc>
        <w:tc>
          <w:tcPr>
            <w:tcW w:type="dxa" w:w="1728"/>
          </w:tcPr>
          <w:p>
            <w:r>
              <w:rPr>
                <w:rFonts w:ascii="Calibri" w:hAnsi="Calibri"/>
                <w:sz w:val="22"/>
              </w:rPr>
              <w:t>101.4</w:t>
            </w:r>
          </w:p>
        </w:tc>
        <w:tc>
          <w:tcPr>
            <w:tcW w:type="dxa" w:w="1728"/>
          </w:tcPr>
          <w:p>
            <w:r>
              <w:rPr>
                <w:rFonts w:ascii="Calibri" w:hAnsi="Calibri"/>
                <w:sz w:val="22"/>
              </w:rPr>
              <w:t>MPWR at ~$1,249; ~23% below Q1 earnings close</w:t>
            </w:r>
          </w:p>
        </w:tc>
      </w:tr>
    </w:tbl>
    <w:p>
      <w:r>
        <w:rPr>
          <w:rFonts w:ascii="Calibri" w:hAnsi="Calibri"/>
          <w:b/>
          <w:color w:val="525866"/>
          <w:sz w:val="22"/>
        </w:rPr>
        <w:t xml:space="preserve">Sector ETF: </w:t>
      </w:r>
      <w:r>
        <w:rPr>
          <w:rFonts w:ascii="Calibri" w:hAnsi="Calibri"/>
          <w:color w:val="525866"/>
          <w:sz w:val="22"/>
        </w:rPr>
        <w:t>iShares Semiconductor ETF (SOXX) — appropriate for MPWR's analog/power management semiconductor sub-sector. Source: Stock Price Data (Yahoo Finance).</w:t>
      </w:r>
    </w:p>
    <w:p>
      <w:r>
        <w:rPr>
          <w:rFonts w:ascii="Calibri" w:hAnsi="Calibri"/>
          <w:b/>
          <w:color w:val="525866"/>
          <w:sz w:val="22"/>
        </w:rPr>
        <w:t xml:space="preserve">Performance Decomposition: </w:t>
      </w:r>
      <w:r>
        <w:rPr>
          <w:rFonts w:ascii="Calibri" w:hAnsi="Calibri"/>
          <w:color w:val="525866"/>
          <w:sz w:val="22"/>
        </w:rPr>
        <w:t>Over the 3-month window since Q1 earnings, MPWR's ~23% decline is almost entirely attributable to multiple compression (NTM EV/EBITDA contracted from ~57x to ~38x; NTM P/E from ~57x to ~46x), not estimate cuts — FY 2026 EPS consensus moved only +0.8% higher over the same period. This is a sentiment/valuation reset, not a fundamental deterioration, and it creates an asymmetric setup into the print: a clean beat with stable or improving H2 tone could trigger a sharp re-rating.</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broad-based chipmaker selloff in late July (despite strong peer results from TXN and SWKS), which has compressed MPWR's multiple to a more attractive entry point. No company-specific negative news has emerged; the dividend declaration in June is a minor positive signal on capital allocation confidence.</w:t>
      </w:r>
    </w:p>
    <w:p>
      <w:pPr>
        <w:pStyle w:val="ListBullet"/>
        <w:ind w:left="360" w:hanging="360"/>
      </w:pPr>
      <w:r>
        <w:rPr>
          <w:rFonts w:ascii="Calibri" w:hAnsi="Calibri"/>
          <w:b/>
          <w:color w:val="525866"/>
          <w:sz w:val="22"/>
        </w:rPr>
        <w:t>Jul 30, 2026 — Q2 2026 Earnings Scheduled:</w:t>
      </w:r>
      <w:r>
        <w:rPr>
          <w:rFonts w:ascii="Calibri" w:hAnsi="Calibri"/>
          <w:color w:val="525866"/>
          <w:sz w:val="22"/>
        </w:rPr>
        <w:t xml:space="preserve"> MPWR to report after market close; Q&amp;A webinar at 5:00 PM ET. Key watch items: Enterprise Data revenue vs. ~$319M consensus, gross margin guidance for H2, and any update to the ~85% YoY Enterprise Data growth floor. (Source: MPWR Press Release, Jul 14, 2026)</w:t>
      </w:r>
    </w:p>
    <w:p>
      <w:pPr>
        <w:pStyle w:val="ListBullet"/>
        <w:ind w:left="360" w:hanging="360"/>
      </w:pPr>
      <w:r>
        <w:rPr>
          <w:rFonts w:ascii="Calibri" w:hAnsi="Calibri"/>
          <w:b/>
          <w:color w:val="525866"/>
          <w:sz w:val="22"/>
        </w:rPr>
        <w:t>Jul 28, 2026 — Chipmaker Selloff Despite Strong Peer Prints:</w:t>
      </w:r>
      <w:r>
        <w:rPr>
          <w:rFonts w:ascii="Calibri" w:hAnsi="Calibri"/>
          <w:color w:val="525866"/>
          <w:sz w:val="22"/>
        </w:rPr>
        <w:t xml:space="preserve"> Broad semiconductor sector sold off sharply even as SWKS beat Q3 estimates ($935M revenue vs. $925M consensus; $1.08 EPS vs. $1.03 consensus). MPWR fell to ~$1,282 on Jul 28. Implication: elevated investor expectations and profit-taking are creating a high-bar dynamic for the sector, but MPWR's underperformance vs. SOXX since April suggests stock-specific multiple compression rather than sector-wide de-rating.</w:t>
      </w:r>
    </w:p>
    <w:p>
      <w:pPr>
        <w:pStyle w:val="ListBullet"/>
        <w:ind w:left="360" w:hanging="360"/>
      </w:pPr>
      <w:r>
        <w:rPr>
          <w:rFonts w:ascii="Calibri" w:hAnsi="Calibri"/>
          <w:b/>
          <w:color w:val="525866"/>
          <w:sz w:val="22"/>
        </w:rPr>
        <w:t>Jul 22, 2026 — Texas Instruments Q2 2026 Beat:</w:t>
      </w:r>
      <w:r>
        <w:rPr>
          <w:rFonts w:ascii="Calibri" w:hAnsi="Calibri"/>
          <w:color w:val="525866"/>
          <w:sz w:val="22"/>
        </w:rPr>
        <w:t xml:space="preserve"> TXN reported record Q2 revenue of $5.46B (+23% YoY), beating $5.24B consensus; data center revenue doubled YoY and grew ~20% sequentially. Q3 guidance of $5.65B–$6.15B exceeded $5.61B consensus. </w:t>
      </w:r>
      <w:r>
        <w:rPr>
          <w:rFonts w:ascii="Calibri" w:hAnsi="Calibri"/>
          <w:b/>
          <w:color w:val="525866"/>
          <w:sz w:val="22"/>
        </w:rPr>
        <w:t>Positive read-through for MPWR's Enterprise Data segment.</w:t>
      </w:r>
      <w:r>
        <w:rPr>
          <w:rFonts w:ascii="Calibri" w:hAnsi="Calibri"/>
          <w:color w:val="525866"/>
          <w:sz w:val="22"/>
        </w:rPr>
        <w:t xml:space="preserve"> Despite the beat, TXN stock fell ~3.4% after hours, illustrating the high-bar dynamic. (Source: TXN Q2 2026 Earnings Release)</w:t>
      </w:r>
    </w:p>
    <w:p>
      <w:pPr>
        <w:pStyle w:val="ListBullet"/>
        <w:ind w:left="360" w:hanging="360"/>
      </w:pPr>
      <w:r>
        <w:rPr>
          <w:rFonts w:ascii="Calibri" w:hAnsi="Calibri"/>
          <w:b/>
          <w:color w:val="525866"/>
          <w:sz w:val="22"/>
        </w:rPr>
        <w:t>Jun 12, 2026 — MPWR Declares $2.00 Quarterly Dividend:</w:t>
      </w:r>
      <w:r>
        <w:rPr>
          <w:rFonts w:ascii="Calibri" w:hAnsi="Calibri"/>
          <w:color w:val="525866"/>
          <w:sz w:val="22"/>
        </w:rPr>
        <w:t xml:space="preserve"> Board declared a $2.00/share quarterly cash dividend. Minor positive signal on management's confidence in cash generation; no change to capital allocation strategy. (Source: MPWR 8-K, Jun 12, 2026)</w:t>
      </w:r>
    </w:p>
    <w:p>
      <w:pPr>
        <w:pStyle w:val="ListBullet"/>
        <w:ind w:left="360" w:hanging="360"/>
      </w:pPr>
      <w:r>
        <w:rPr>
          <w:rFonts w:ascii="Calibri" w:hAnsi="Calibri"/>
          <w:b/>
          <w:color w:val="525866"/>
          <w:sz w:val="22"/>
        </w:rPr>
        <w:t>Jun 26, 2026 — ON Semiconductor Acquires Synaptics ($7B All-Stock):</w:t>
      </w:r>
      <w:r>
        <w:rPr>
          <w:rFonts w:ascii="Calibri" w:hAnsi="Calibri"/>
          <w:color w:val="525866"/>
          <w:sz w:val="22"/>
        </w:rPr>
        <w:t xml:space="preserve"> ON shares fell ~25% on the deal announcement. Indirect read-through: consolidation in the analog/mixed-signal space could benefit MPWR if ON is distracted by integration; however, ON and MPWR have limited direct product overlap in power management. (Source: WSJ, Jun 27, 2026)</w:t>
      </w:r>
    </w:p>
    <w:p>
      <w:pPr>
        <w:pStyle w:val="ListBullet"/>
        <w:ind w:left="360" w:hanging="360"/>
      </w:pPr>
      <w:r>
        <w:rPr>
          <w:rFonts w:ascii="Calibri" w:hAnsi="Calibri"/>
          <w:b/>
          <w:color w:val="525866"/>
          <w:sz w:val="22"/>
        </w:rPr>
        <w:t>Jun 26, 2026 — Micron Selloff / Memory Sector Volatility:</w:t>
      </w:r>
      <w:r>
        <w:rPr>
          <w:rFonts w:ascii="Calibri" w:hAnsi="Calibri"/>
          <w:color w:val="525866"/>
          <w:sz w:val="22"/>
        </w:rPr>
        <w:t xml:space="preserve"> MU shares dropped amid memory sector concerns. Relevant to MPWR's Storage &amp; Computing segment (DDR5 power management); management had flagged potential TAM headwinds from memory price elasticity on the Q1 call. Watch for any commentary on DDR5 demand trajectory. (Source: News Digest, Jun 26, 2026)</w:t>
      </w:r>
    </w:p>
    <w:p>
      <w:pPr>
        <w:pStyle w:val="ListBullet"/>
        <w:ind w:left="360" w:hanging="360"/>
      </w:pPr>
      <w:r>
        <w:rPr>
          <w:rFonts w:ascii="Calibri" w:hAnsi="Calibri"/>
          <w:b/>
          <w:color w:val="525866"/>
          <w:sz w:val="22"/>
        </w:rPr>
        <w:t>May 18, 2026 — CEO Michael Hsing Sells 40,000 Shares (~$63M):</w:t>
      </w:r>
      <w:r>
        <w:rPr>
          <w:rFonts w:ascii="Calibri" w:hAnsi="Calibri"/>
          <w:color w:val="525866"/>
          <w:sz w:val="22"/>
        </w:rPr>
        <w:t xml:space="preserve"> Largest single insider transaction in the window; executed as a discretionary (non-10b5-1) sale at ~$1,573/share. Noteworthy given size but not necessarily a negative signal given Hsing retains ~848K shares. (Source: SEC Form 4, filed May 20, 2026)</w:t>
      </w:r>
    </w:p>
    <w:p>
      <w:r>
        <w:br w:type="page"/>
      </w:r>
    </w:p>
    <w:p>
      <w:pPr>
        <w:pStyle w:val="Heading2"/>
      </w:pPr>
      <w:r>
        <w:rPr>
          <w:rFonts w:ascii="Calibri" w:hAnsi="Calibri"/>
          <w:b/>
          <w:color w:val="3B4259"/>
          <w:sz w:val="28"/>
        </w:rPr>
        <w:t>7. Peer Commentary &amp; Current-Quarter Read-Through</w:t>
      </w:r>
    </w:p>
    <w:p>
      <w:r>
        <w:rPr>
          <w:rFonts w:ascii="Calibri" w:hAnsi="Calibri"/>
          <w:b/>
          <w:color w:val="525866"/>
          <w:sz w:val="22"/>
        </w:rPr>
        <w:t xml:space="preserve">Key Takeaway: </w:t>
      </w:r>
      <w:r>
        <w:rPr>
          <w:rFonts w:ascii="Calibri" w:hAnsi="Calibri"/>
          <w:color w:val="525866"/>
          <w:sz w:val="22"/>
        </w:rPr>
        <w:t>Both TXN (reported Jul 22) and SWKS (reported Jul 28) delivered results covering the June 2026 quarter — MPWR's current reporting period — and both confirm robust data-center and automotive demand with lean channel inventories. The read-throughs are directionally positive for MPWR's Enterprise Data and Automotive segments, though product-level differences limit direct extrapolation.</w:t>
      </w:r>
    </w:p>
    <w:p>
      <w:r>
        <w:rPr>
          <w:rFonts w:ascii="Calibri" w:hAnsi="Calibri"/>
          <w:b/>
          <w:color w:val="525866"/>
          <w:sz w:val="22"/>
        </w:rPr>
        <w:t xml:space="preserve">Scope &amp; Methodology: </w:t>
      </w:r>
      <w:r>
        <w:rPr>
          <w:rFonts w:ascii="Calibri" w:hAnsi="Calibri"/>
          <w:color w:val="525866"/>
          <w:sz w:val="22"/>
        </w:rPr>
        <w:t>Only commentary from peers reporting on the June 2026 quarter (calendar Q2 2026) or providing forward guidance into Q3 2026 is included below. Commentary from prior-period earnings calls (e.g., Q1 2026 results reported in April/May) is excluded unless it explicitly addressed current-quarter conditions. Both TXN and SWKS reported their June-quarter results within the last 8 days, making their commentary directly applicable to MPWR's Q2 2026 setup.</w:t>
      </w:r>
    </w:p>
    <w:p>
      <w:pPr>
        <w:pStyle w:val="Heading3"/>
      </w:pPr>
      <w:r>
        <w:rPr>
          <w:rFonts w:ascii="Calibri" w:hAnsi="Calibri"/>
          <w:b/>
          <w:color w:val="3B4259"/>
          <w:sz w:val="24"/>
        </w:rPr>
        <w:t>Texas Instruments (TXN) — Q2 2026 Earnings (Reported July 22, 2026)</w:t>
      </w:r>
    </w:p>
    <w:p>
      <w:r>
        <w:rPr>
          <w:rFonts w:ascii="Calibri" w:hAnsi="Calibri"/>
          <w:b/>
          <w:color w:val="525866"/>
          <w:sz w:val="22"/>
        </w:rPr>
        <w:t xml:space="preserve">Relevance to MPWR: </w:t>
      </w:r>
      <w:r>
        <w:rPr>
          <w:rFonts w:ascii="Calibri" w:hAnsi="Calibri"/>
          <w:color w:val="525866"/>
          <w:sz w:val="22"/>
        </w:rPr>
        <w:t>TXN is the closest large-cap analog/power management peer to MPWR, serving overlapping end markets (industrial, automotive, data center, communications). TXN's direct sales model and 300mm manufacturing focus create some structural differences, but broad demand trends are highly applicable.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TXN Commentary (Q2 2026)</w:t>
            </w:r>
          </w:p>
        </w:tc>
        <w:tc>
          <w:tcPr>
            <w:tcW w:type="dxa" w:w="2160"/>
            <w:shd w:val="clear" w:color="auto" w:fill="3B4259"/>
          </w:tcPr>
          <w:p>
            <w:r>
              <w:rPr>
                <w:rFonts w:ascii="Calibri" w:hAnsi="Calibri"/>
                <w:b/>
                <w:color w:val="FFFFFF"/>
                <w:sz w:val="22"/>
              </w:rPr>
              <w:t>MPWR Read-Through</w:t>
            </w:r>
          </w:p>
        </w:tc>
        <w:tc>
          <w:tcPr>
            <w:tcW w:type="dxa" w:w="2160"/>
            <w:shd w:val="clear" w:color="auto" w:fill="3B4259"/>
          </w:tcPr>
          <w:p>
            <w:r>
              <w:rPr>
                <w:rFonts w:ascii="Calibri" w:hAnsi="Calibri"/>
                <w:b/>
                <w:color w:val="FFFFFF"/>
                <w:sz w:val="22"/>
              </w:rPr>
              <w:t>Applicability</w:t>
            </w:r>
          </w:p>
        </w:tc>
      </w:tr>
      <w:tr>
        <w:tc>
          <w:tcPr>
            <w:tcW w:type="dxa" w:w="2160"/>
          </w:tcPr>
          <w:p>
            <w:r>
              <w:rPr>
                <w:rFonts w:ascii="Calibri" w:hAnsi="Calibri"/>
                <w:sz w:val="22"/>
              </w:rPr>
              <w:t>Data Center / AI Power</w:t>
            </w:r>
          </w:p>
        </w:tc>
        <w:tc>
          <w:tcPr>
            <w:tcW w:type="dxa" w:w="2160"/>
          </w:tcPr>
          <w:p>
            <w:r>
              <w:rPr>
                <w:rFonts w:ascii="Calibri" w:hAnsi="Calibri"/>
                <w:sz w:val="22"/>
              </w:rPr>
              <w:t>Data center revenue doubled YoY and grew ~20% sequentially in Q2; CEO stated “we do not expect that to change in the foreseeable future.” 800V architecture seen as a TAM tailwind with “higher growth, more conversion stages.” Objective to “outgrow the market” in 2026 and 2027.</w:t>
            </w:r>
          </w:p>
        </w:tc>
        <w:tc>
          <w:tcPr>
            <w:tcW w:type="dxa" w:w="2160"/>
          </w:tcPr>
          <w:p>
            <w:r>
              <w:rPr>
                <w:rFonts w:ascii="Calibri" w:hAnsi="Calibri"/>
                <w:b/>
                <w:color w:val="30A46C"/>
                <w:sz w:val="22"/>
              </w:rPr>
              <w:t>Strongly positive for MPWR Enterprise Data. MPWR guided ~85% YoY growth floor for FY 2026; TXN's data center doubling YoY validates the demand environment. 800V tailwind commentary aligns with MPWR's own 800V silicon carbide sampling activity.</w:t>
            </w:r>
          </w:p>
        </w:tc>
        <w:tc>
          <w:tcPr>
            <w:tcW w:type="dxa" w:w="2160"/>
          </w:tcPr>
          <w:p>
            <w:r>
              <w:rPr>
                <w:rFonts w:ascii="Calibri" w:hAnsi="Calibri"/>
                <w:sz w:val="22"/>
              </w:rPr>
              <w:t>High — both companies supply power management to AI/data center; TXN's scale provides a reliable demand signal.</w:t>
            </w:r>
          </w:p>
        </w:tc>
      </w:tr>
      <w:tr>
        <w:tc>
          <w:tcPr>
            <w:tcW w:type="dxa" w:w="2160"/>
          </w:tcPr>
          <w:p>
            <w:r>
              <w:rPr>
                <w:rFonts w:ascii="Calibri" w:hAnsi="Calibri"/>
                <w:sz w:val="22"/>
              </w:rPr>
              <w:t>Industrial</w:t>
            </w:r>
          </w:p>
        </w:tc>
        <w:tc>
          <w:tcPr>
            <w:tcW w:type="dxa" w:w="2160"/>
          </w:tcPr>
          <w:p>
            <w:r>
              <w:rPr>
                <w:rFonts w:ascii="Calibri" w:hAnsi="Calibri"/>
                <w:sz w:val="22"/>
              </w:rPr>
              <w:t>Industrial +30% YoY, +10% sequentially; “growing broadly across sectors and regions.” Customers “have not yet built inventory,” suggesting further room for growth. Energy infrastructure and test &amp; measurement were fastest-growing sub-sectors.</w:t>
            </w:r>
          </w:p>
        </w:tc>
        <w:tc>
          <w:tcPr>
            <w:tcW w:type="dxa" w:w="2160"/>
          </w:tcPr>
          <w:p>
            <w:r>
              <w:rPr>
                <w:rFonts w:ascii="Calibri" w:hAnsi="Calibri"/>
                <w:b/>
                <w:color w:val="30A46C"/>
                <w:sz w:val="22"/>
              </w:rPr>
              <w:t>Modestly positive for MPWR Industrial (6% of Q1 revenue). MPWR's industrial segment was down 11% sequentially in Q1; TXN's broad industrial recovery suggests the trough may be behind us.</w:t>
            </w:r>
          </w:p>
        </w:tc>
        <w:tc>
          <w:tcPr>
            <w:tcW w:type="dxa" w:w="2160"/>
          </w:tcPr>
          <w:p>
            <w:r>
              <w:rPr>
                <w:rFonts w:ascii="Calibri" w:hAnsi="Calibri"/>
                <w:sz w:val="22"/>
              </w:rPr>
              <w:t>Medium — MPWR's industrial exposure is smaller and more specialized; TXN's breadth makes it a better industrial bellwether.</w:t>
            </w:r>
          </w:p>
        </w:tc>
      </w:tr>
      <w:tr>
        <w:tc>
          <w:tcPr>
            <w:tcW w:type="dxa" w:w="2160"/>
          </w:tcPr>
          <w:p>
            <w:r>
              <w:rPr>
                <w:rFonts w:ascii="Calibri" w:hAnsi="Calibri"/>
                <w:sz w:val="22"/>
              </w:rPr>
              <w:t>Automotive</w:t>
            </w:r>
          </w:p>
        </w:tc>
        <w:tc>
          <w:tcPr>
            <w:tcW w:type="dxa" w:w="2160"/>
          </w:tcPr>
          <w:p>
            <w:r>
              <w:rPr>
                <w:rFonts w:ascii="Calibri" w:hAnsi="Calibri"/>
                <w:sz w:val="22"/>
              </w:rPr>
              <w:t>Automotive +mid-teens YoY, +upper-single-digits sequentially; “accelerated growth” led by China EVs/hybrids. Customers had “taken inventory to very low levels” creating unsustainable situations; TXN views this as “the start of a very broad cycle.”</w:t>
            </w:r>
          </w:p>
        </w:tc>
        <w:tc>
          <w:tcPr>
            <w:tcW w:type="dxa" w:w="2160"/>
          </w:tcPr>
          <w:p>
            <w:r>
              <w:rPr>
                <w:rFonts w:ascii="Calibri" w:hAnsi="Calibri"/>
                <w:b/>
                <w:color w:val="30A46C"/>
                <w:sz w:val="22"/>
              </w:rPr>
              <w:t>Positive for MPWR Automotive (~19% of Q1 revenue). Management guided auto “roughly flat H1, ramping H2”; TXN's acceleration and low customer inventory levels support the H2 ramp thesis.</w:t>
            </w:r>
          </w:p>
        </w:tc>
        <w:tc>
          <w:tcPr>
            <w:tcW w:type="dxa" w:w="2160"/>
          </w:tcPr>
          <w:p>
            <w:r>
              <w:rPr>
                <w:rFonts w:ascii="Calibri" w:hAnsi="Calibri"/>
                <w:sz w:val="22"/>
              </w:rPr>
              <w:t>High — both companies supply ADAS and EV power management; TXN's China EV commentary is directly relevant.</w:t>
            </w:r>
          </w:p>
        </w:tc>
      </w:tr>
      <w:tr>
        <w:tc>
          <w:tcPr>
            <w:tcW w:type="dxa" w:w="2160"/>
          </w:tcPr>
          <w:p>
            <w:r>
              <w:rPr>
                <w:rFonts w:ascii="Calibri" w:hAnsi="Calibri"/>
                <w:sz w:val="22"/>
              </w:rPr>
              <w:t>Pricing</w:t>
            </w:r>
          </w:p>
        </w:tc>
        <w:tc>
          <w:tcPr>
            <w:tcW w:type="dxa" w:w="2160"/>
          </w:tcPr>
          <w:p>
            <w:r>
              <w:rPr>
                <w:rFonts w:ascii="Calibri" w:hAnsi="Calibri"/>
                <w:sz w:val="22"/>
              </w:rPr>
              <w:t>Pricing “stable and flat” in H1 2026 (above-average year); TXN has “started executing price increases” on analog, to play in Q3–Q4. Lead times increasing “a couple of weeks” as demand grows.</w:t>
            </w:r>
          </w:p>
        </w:tc>
        <w:tc>
          <w:tcPr>
            <w:tcW w:type="dxa" w:w="2160"/>
          </w:tcPr>
          <w:p>
            <w:r>
              <w:rPr>
                <w:rFonts w:ascii="Calibri" w:hAnsi="Calibri"/>
                <w:b/>
                <w:color w:val="30A46C"/>
                <w:sz w:val="22"/>
              </w:rPr>
              <w:t>Neutral-to-positive for MPWR gross margins. Stable pricing environment reduces downside risk; rising lead times could eventually support MPWR's ability to improve mix management and gross margins.</w:t>
            </w:r>
          </w:p>
        </w:tc>
        <w:tc>
          <w:tcPr>
            <w:tcW w:type="dxa" w:w="2160"/>
          </w:tcPr>
          <w:p>
            <w:r>
              <w:rPr>
                <w:rFonts w:ascii="Calibri" w:hAnsi="Calibri"/>
                <w:sz w:val="22"/>
              </w:rPr>
              <w:t>Medium — MPWR's gross margin is more sensitive to module mix than spot pricing; TXN's pricing power is more directly tied to its direct sales model.</w:t>
            </w:r>
          </w:p>
        </w:tc>
      </w:tr>
      <w:tr>
        <w:tc>
          <w:tcPr>
            <w:tcW w:type="dxa" w:w="2160"/>
          </w:tcPr>
          <w:p>
            <w:r>
              <w:rPr>
                <w:rFonts w:ascii="Calibri" w:hAnsi="Calibri"/>
                <w:sz w:val="22"/>
              </w:rPr>
              <w:t>Channel Inventory</w:t>
            </w:r>
          </w:p>
        </w:tc>
        <w:tc>
          <w:tcPr>
            <w:tcW w:type="dxa" w:w="2160"/>
          </w:tcPr>
          <w:p>
            <w:r>
              <w:rPr>
                <w:rFonts w:ascii="Calibri" w:hAnsi="Calibri"/>
                <w:sz w:val="22"/>
              </w:rPr>
              <w:t>TXN inventory at $4.6B (196 days), down 13 days sequentially; “backlog build throughout the quarter” in both near-term and longer-dated orders. Customers in auto and industrial at “very low” inventory levels.</w:t>
            </w:r>
          </w:p>
        </w:tc>
        <w:tc>
          <w:tcPr>
            <w:tcW w:type="dxa" w:w="2160"/>
          </w:tcPr>
          <w:p>
            <w:r>
              <w:rPr>
                <w:rFonts w:ascii="Calibri" w:hAnsi="Calibri"/>
                <w:b/>
                <w:color w:val="30A46C"/>
                <w:sz w:val="22"/>
              </w:rPr>
              <w:t>Positive for MPWR. MPWR's channel inventory was “stable in target range” per Q1 commentary; TXN's customer inventory depletion across auto and industrial supports continued healthy ordering patterns.</w:t>
            </w:r>
          </w:p>
        </w:tc>
        <w:tc>
          <w:tcPr>
            <w:tcW w:type="dxa" w:w="2160"/>
          </w:tcPr>
          <w:p>
            <w:r>
              <w:rPr>
                <w:rFonts w:ascii="Calibri" w:hAnsi="Calibri"/>
                <w:sz w:val="22"/>
              </w:rPr>
              <w:t>High — channel inventory dynamics are broadly applicable across analog semiconductor suppliers.</w:t>
            </w:r>
          </w:p>
        </w:tc>
      </w:tr>
      <w:tr>
        <w:tc>
          <w:tcPr>
            <w:tcW w:type="dxa" w:w="2160"/>
          </w:tcPr>
          <w:p>
            <w:r>
              <w:rPr>
                <w:rFonts w:ascii="Calibri" w:hAnsi="Calibri"/>
                <w:sz w:val="22"/>
              </w:rPr>
              <w:t>Q3 2026 Outlook</w:t>
            </w:r>
          </w:p>
        </w:tc>
        <w:tc>
          <w:tcPr>
            <w:tcW w:type="dxa" w:w="2160"/>
          </w:tcPr>
          <w:p>
            <w:r>
              <w:rPr>
                <w:rFonts w:ascii="Calibri" w:hAnsi="Calibri"/>
                <w:sz w:val="22"/>
              </w:rPr>
              <w:t>Q3 revenue guided $5.65B–$6.15B (mid: $5.90B), +8% sequential at midpoint; “stronger demand, and it’s broader” across all markets. Gross margin fall-through of 70–85% (ex-depreciation) implies further expansion.</w:t>
            </w:r>
          </w:p>
        </w:tc>
        <w:tc>
          <w:tcPr>
            <w:tcW w:type="dxa" w:w="2160"/>
          </w:tcPr>
          <w:p>
            <w:r>
              <w:rPr>
                <w:rFonts w:ascii="Calibri" w:hAnsi="Calibri"/>
                <w:b/>
                <w:color w:val="30A46C"/>
                <w:sz w:val="22"/>
              </w:rPr>
              <w:t>Positive signal for MPWR's H2 setup. If TXN sees broad demand acceleration into Q3, MPWR's H2 ramp in Automotive and continued Enterprise Data strength become more credible.</w:t>
            </w:r>
          </w:p>
        </w:tc>
        <w:tc>
          <w:tcPr>
            <w:tcW w:type="dxa" w:w="2160"/>
          </w:tcPr>
          <w:p>
            <w:r>
              <w:rPr>
                <w:rFonts w:ascii="Calibri" w:hAnsi="Calibri"/>
                <w:sz w:val="22"/>
              </w:rPr>
              <w:t>Medium — TXN's Q3 guide is directionally useful but MPWR's H2 gross margin headwinds are company-specific (module mix, lead time dynamics).</w:t>
            </w:r>
          </w:p>
        </w:tc>
      </w:tr>
    </w:tbl>
    <w:p>
      <w:r>
        <w:rPr>
          <w:rFonts w:ascii="Calibri" w:hAnsi="Calibri"/>
          <w:color w:val="525866"/>
          <w:sz w:val="22"/>
        </w:rPr>
        <w:t>Source: TXN Q2 2026 Earnings Release and Earnings Call Transcript (July 22, 2026). Limitations: TXN's direct sales model, 300mm manufacturing scale, and broader product portfolio (analog + embedded processing) create structural differences vs. MPWR's fabless, power-management-focused model. Magnitude of growth and gross margin dynamics may differ materially.</w:t>
      </w:r>
    </w:p>
    <w:p>
      <w:pPr>
        <w:pStyle w:val="Heading3"/>
      </w:pPr>
      <w:r>
        <w:rPr>
          <w:rFonts w:ascii="Calibri" w:hAnsi="Calibri"/>
          <w:b/>
          <w:color w:val="3B4259"/>
          <w:sz w:val="24"/>
        </w:rPr>
        <w:t>Skyworks Solutions (SWKS) — Fiscal Q3 2026 Earnings (Reported July 28, 2026; Quarter Ended July 3, 2026)</w:t>
      </w:r>
    </w:p>
    <w:p>
      <w:r>
        <w:rPr>
          <w:rFonts w:ascii="Calibri" w:hAnsi="Calibri"/>
          <w:b/>
          <w:color w:val="525866"/>
          <w:sz w:val="22"/>
        </w:rPr>
        <w:t xml:space="preserve">Relevance to MPWR: </w:t>
      </w:r>
      <w:r>
        <w:rPr>
          <w:rFonts w:ascii="Calibri" w:hAnsi="Calibri"/>
          <w:color w:val="525866"/>
          <w:sz w:val="22"/>
        </w:rPr>
        <w:t>SWKS's fiscal Q3 (ended July 3, 2026) overlaps with MPWR's Q2 2026 (ended June 30, 2026), making it a near-perfect calendar read-through. SWKS's Broad Markets segment (data center, automotive, Wi-Fi) is the most relevant to MPWR; the Mobile segment has limited applicability.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SWKS Commentary (Fiscal Q3 2026, ended Jul 3, 2026)</w:t>
            </w:r>
          </w:p>
        </w:tc>
        <w:tc>
          <w:tcPr>
            <w:tcW w:type="dxa" w:w="2160"/>
            <w:shd w:val="clear" w:color="auto" w:fill="3B4259"/>
          </w:tcPr>
          <w:p>
            <w:r>
              <w:rPr>
                <w:rFonts w:ascii="Calibri" w:hAnsi="Calibri"/>
                <w:b/>
                <w:color w:val="FFFFFF"/>
                <w:sz w:val="22"/>
              </w:rPr>
              <w:t>MPWR Read-Through</w:t>
            </w:r>
          </w:p>
        </w:tc>
        <w:tc>
          <w:tcPr>
            <w:tcW w:type="dxa" w:w="2160"/>
            <w:shd w:val="clear" w:color="auto" w:fill="3B4259"/>
          </w:tcPr>
          <w:p>
            <w:r>
              <w:rPr>
                <w:rFonts w:ascii="Calibri" w:hAnsi="Calibri"/>
                <w:b/>
                <w:color w:val="FFFFFF"/>
                <w:sz w:val="22"/>
              </w:rPr>
              <w:t>Applicability</w:t>
            </w:r>
          </w:p>
        </w:tc>
      </w:tr>
      <w:tr>
        <w:tc>
          <w:tcPr>
            <w:tcW w:type="dxa" w:w="2160"/>
          </w:tcPr>
          <w:p>
            <w:r>
              <w:rPr>
                <w:rFonts w:ascii="Calibri" w:hAnsi="Calibri"/>
                <w:sz w:val="22"/>
              </w:rPr>
              <w:t>Data Center / AI Power</w:t>
            </w:r>
          </w:p>
        </w:tc>
        <w:tc>
          <w:tcPr>
            <w:tcW w:type="dxa" w:w="2160"/>
          </w:tcPr>
          <w:p>
            <w:r>
              <w:rPr>
                <w:rFonts w:ascii="Calibri" w:hAnsi="Calibri"/>
                <w:sz w:val="22"/>
              </w:rPr>
              <w:t>AI data center is SWKS’s “fastest growing business, tracking ahead of the 50% annual growth outlined last quarter.” Demand “continues to run well ahead of what we can supply.” Engaged on 800G/1.6TB platforms and 400/800V HVDC power architectures. Supply constrained.</w:t>
            </w:r>
          </w:p>
        </w:tc>
        <w:tc>
          <w:tcPr>
            <w:tcW w:type="dxa" w:w="2160"/>
          </w:tcPr>
          <w:p>
            <w:r>
              <w:rPr>
                <w:rFonts w:ascii="Calibri" w:hAnsi="Calibri"/>
                <w:b/>
                <w:color w:val="30A46C"/>
                <w:sz w:val="22"/>
              </w:rPr>
              <w:t>Strongly positive for MPWR Enterprise Data. Supply constraints at SWKS suggest industry-wide demand is robust; MPWR's own 800V silicon carbide sampling and optical module power solutions are in the same demand wave.</w:t>
            </w:r>
          </w:p>
        </w:tc>
        <w:tc>
          <w:tcPr>
            <w:tcW w:type="dxa" w:w="2160"/>
          </w:tcPr>
          <w:p>
            <w:r>
              <w:rPr>
                <w:rFonts w:ascii="Calibri" w:hAnsi="Calibri"/>
                <w:sz w:val="22"/>
              </w:rPr>
              <w:t>High — SWKS’s data center power and connectivity products overlap with MPWR’s power management for AI servers and optical modules.</w:t>
            </w:r>
          </w:p>
        </w:tc>
      </w:tr>
      <w:tr>
        <w:tc>
          <w:tcPr>
            <w:tcW w:type="dxa" w:w="2160"/>
          </w:tcPr>
          <w:p>
            <w:r>
              <w:rPr>
                <w:rFonts w:ascii="Calibri" w:hAnsi="Calibri"/>
                <w:sz w:val="22"/>
              </w:rPr>
              <w:t>Automotive</w:t>
            </w:r>
          </w:p>
        </w:tc>
        <w:tc>
          <w:tcPr>
            <w:tcW w:type="dxa" w:w="2160"/>
          </w:tcPr>
          <w:p>
            <w:r>
              <w:rPr>
                <w:rFonts w:ascii="Calibri" w:hAnsi="Calibri"/>
                <w:sz w:val="22"/>
              </w:rPr>
              <w:t>Automotive showed “strong double-digit growth” YoY in Broad Markets; “connected car and infotainment driving growth today, with power and connectivity expanding footprint over time.” Engaged with global OEMs on multi-year platforms.</w:t>
            </w:r>
          </w:p>
        </w:tc>
        <w:tc>
          <w:tcPr>
            <w:tcW w:type="dxa" w:w="2160"/>
          </w:tcPr>
          <w:p>
            <w:r>
              <w:rPr>
                <w:rFonts w:ascii="Calibri" w:hAnsi="Calibri"/>
                <w:b/>
                <w:color w:val="30A46C"/>
                <w:sz w:val="22"/>
              </w:rPr>
              <w:t>Positive for MPWR Automotive. Double-digit growth at SWKS corroborates MPWR’s ADAS and EV content expansion thesis; multi-year OEM engagement patterns are consistent with MPWR’s Tier 1 win commentary.</w:t>
            </w:r>
          </w:p>
        </w:tc>
        <w:tc>
          <w:tcPr>
            <w:tcW w:type="dxa" w:w="2160"/>
          </w:tcPr>
          <w:p>
            <w:r>
              <w:rPr>
                <w:rFonts w:ascii="Calibri" w:hAnsi="Calibri"/>
                <w:sz w:val="22"/>
              </w:rPr>
              <w:t>Medium — SWKS focuses on connectivity/RF; MPWR focuses on power management. Both benefit from EV content expansion but through different product vectors.</w:t>
            </w:r>
          </w:p>
        </w:tc>
      </w:tr>
      <w:tr>
        <w:tc>
          <w:tcPr>
            <w:tcW w:type="dxa" w:w="2160"/>
          </w:tcPr>
          <w:p>
            <w:r>
              <w:rPr>
                <w:rFonts w:ascii="Calibri" w:hAnsi="Calibri"/>
                <w:sz w:val="22"/>
              </w:rPr>
              <w:t>Channel Inventory &amp; Demand</w:t>
            </w:r>
          </w:p>
        </w:tc>
        <w:tc>
          <w:tcPr>
            <w:tcW w:type="dxa" w:w="2160"/>
          </w:tcPr>
          <w:p>
            <w:r>
              <w:rPr>
                <w:rFonts w:ascii="Calibri" w:hAnsi="Calibri"/>
                <w:sz w:val="22"/>
              </w:rPr>
              <w:t>“Channel inventories are lean” and “demand is healthy.” Book-to-bill above 1. Demand signals “remained stable.” Maintaining “a little more buffer stock” to mitigate supply risk. No inventory correction signals.</w:t>
            </w:r>
          </w:p>
        </w:tc>
        <w:tc>
          <w:tcPr>
            <w:tcW w:type="dxa" w:w="2160"/>
          </w:tcPr>
          <w:p>
            <w:r>
              <w:rPr>
                <w:rFonts w:ascii="Calibri" w:hAnsi="Calibri"/>
                <w:b/>
                <w:color w:val="30A46C"/>
                <w:sz w:val="22"/>
              </w:rPr>
              <w:t>Positive for MPWR. Lean channel inventories and above-1 book-to-bill across the semiconductor supply chain reduce the risk of a demand air pocket in MPWR’s Q2 results.</w:t>
            </w:r>
          </w:p>
        </w:tc>
        <w:tc>
          <w:tcPr>
            <w:tcW w:type="dxa" w:w="2160"/>
          </w:tcPr>
          <w:p>
            <w:r>
              <w:rPr>
                <w:rFonts w:ascii="Calibri" w:hAnsi="Calibri"/>
                <w:sz w:val="22"/>
              </w:rPr>
              <w:t>High — channel inventory dynamics are broadly applicable; SWKS’s lean inventory signal is consistent with TXN’s commentary.</w:t>
            </w:r>
          </w:p>
        </w:tc>
      </w:tr>
      <w:tr>
        <w:tc>
          <w:tcPr>
            <w:tcW w:type="dxa" w:w="2160"/>
          </w:tcPr>
          <w:p>
            <w:r>
              <w:rPr>
                <w:rFonts w:ascii="Calibri" w:hAnsi="Calibri"/>
                <w:sz w:val="22"/>
              </w:rPr>
              <w:t>Gross Margin / Input Costs</w:t>
            </w:r>
          </w:p>
        </w:tc>
        <w:tc>
          <w:tcPr>
            <w:tcW w:type="dxa" w:w="2160"/>
          </w:tcPr>
          <w:p>
            <w:r>
              <w:rPr>
                <w:rFonts w:ascii="Calibri" w:hAnsi="Calibri"/>
                <w:sz w:val="22"/>
              </w:rPr>
              <w:t>Gross margin ~45% in Q3; “input costs remain a headwind” and expected to “persist.” Executing “selective price increases” on Broad Markets. Long-term target 50–55% (combined with Qorvo).</w:t>
            </w:r>
          </w:p>
        </w:tc>
        <w:tc>
          <w:tcPr>
            <w:tcW w:type="dxa" w:w="2160"/>
          </w:tcPr>
          <w:p>
            <w:r>
              <w:rPr>
                <w:rFonts w:ascii="Calibri" w:hAnsi="Calibri"/>
                <w:b/>
                <w:color w:val="E5484D"/>
                <w:sz w:val="22"/>
              </w:rPr>
              <w:t>Cautionary signal for MPWR gross margins. Rising input costs are an industry-wide headwind; MPWR’s own H2 gross margin caution may be partly driven by similar dynamics. However, MPWR’s ~55.5% gross margin is structurally higher than SWKS’s ~45%, reflecting different product mix.</w:t>
            </w:r>
          </w:p>
        </w:tc>
        <w:tc>
          <w:tcPr>
            <w:tcW w:type="dxa" w:w="2160"/>
          </w:tcPr>
          <w:p>
            <w:r>
              <w:rPr>
                <w:rFonts w:ascii="Calibri" w:hAnsi="Calibri"/>
                <w:sz w:val="22"/>
              </w:rPr>
              <w:t>Medium — input cost dynamics are broadly applicable, but MPWR’s gross margin model is driven more by module mix and lead time management than by SWKS-style mobile/RF cost structures.</w:t>
            </w:r>
          </w:p>
        </w:tc>
      </w:tr>
      <w:tr>
        <w:tc>
          <w:tcPr>
            <w:tcW w:type="dxa" w:w="2160"/>
          </w:tcPr>
          <w:p>
            <w:r>
              <w:rPr>
                <w:rFonts w:ascii="Calibri" w:hAnsi="Calibri"/>
                <w:sz w:val="22"/>
              </w:rPr>
              <w:t>Q4 FY2026 Outlook (Sep Quarter)</w:t>
            </w:r>
          </w:p>
        </w:tc>
        <w:tc>
          <w:tcPr>
            <w:tcW w:type="dxa" w:w="2160"/>
          </w:tcPr>
          <w:p>
            <w:r>
              <w:rPr>
                <w:rFonts w:ascii="Calibri" w:hAnsi="Calibri"/>
                <w:sz w:val="22"/>
              </w:rPr>
              <w:t>Broad Markets expected to grow ~5% YoY in Sep quarter; data center and automotive remain growth engines. IoT/consumer softness is a headwind. Mobile to grow high-teens sequentially on iPhone seasonal ramp.</w:t>
            </w:r>
          </w:p>
        </w:tc>
        <w:tc>
          <w:tcPr>
            <w:tcW w:type="dxa" w:w="2160"/>
          </w:tcPr>
          <w:p>
            <w:r>
              <w:rPr>
                <w:rFonts w:ascii="Calibri" w:hAnsi="Calibri"/>
                <w:b/>
                <w:color w:val="E5484D"/>
                <w:sz w:val="22"/>
              </w:rPr>
              <w:t>Neutral for MPWR. SWKS’s Sep quarter outlook is mixed (data center/auto strong, consumer soft), consistent with MPWR’s own cautious H2 tone. The consumer softness is a minor negative for MPWR’s Consumer segment (~7% of revenue).</w:t>
            </w:r>
          </w:p>
        </w:tc>
        <w:tc>
          <w:tcPr>
            <w:tcW w:type="dxa" w:w="2160"/>
          </w:tcPr>
          <w:p>
            <w:r>
              <w:rPr>
                <w:rFonts w:ascii="Calibri" w:hAnsi="Calibri"/>
                <w:sz w:val="22"/>
              </w:rPr>
              <w:t>Low-Medium — SWKS’s Sep quarter is its fiscal Q4; MPWR’s H2 dynamics are driven by Enterprise Data and Automotive, not mobile seasonality.</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Insider activity since Q1 earnings is dominated by sales, with no open-market purchases. The most notable transaction is CEO Michael Hsing’s discretionary (non-10b5-1) sale of 40,000 shares (~$63M) on May 18 — the largest single transaction in the window and worth monitoring, though Hsing retains ~848K shares. The majority of other sales are 10b5-1 planned transactions, which are obligation-driven and carry less signal.</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Hsing Michael</w:t>
            </w:r>
          </w:p>
        </w:tc>
        <w:tc>
          <w:tcPr>
            <w:tcW w:type="dxa" w:w="1234"/>
          </w:tcPr>
          <w:p>
            <w:r>
              <w:rPr>
                <w:rFonts w:ascii="Calibri" w:hAnsi="Calibri"/>
                <w:sz w:val="22"/>
              </w:rPr>
              <w:t>CEO &amp; Director</w:t>
            </w:r>
          </w:p>
        </w:tc>
        <w:tc>
          <w:tcPr>
            <w:tcW w:type="dxa" w:w="1234"/>
          </w:tcPr>
          <w:p>
            <w:r>
              <w:rPr>
                <w:rFonts w:ascii="Calibri" w:hAnsi="Calibri"/>
                <w:sz w:val="22"/>
              </w:rPr>
              <w:t>Open Market Sale</w:t>
            </w:r>
          </w:p>
        </w:tc>
        <w:tc>
          <w:tcPr>
            <w:tcW w:type="dxa" w:w="1234"/>
          </w:tcPr>
          <w:p>
            <w:r>
              <w:rPr>
                <w:rFonts w:ascii="Calibri" w:hAnsi="Calibri"/>
                <w:sz w:val="22"/>
              </w:rPr>
              <w:t>40,000</w:t>
            </w:r>
          </w:p>
        </w:tc>
        <w:tc>
          <w:tcPr>
            <w:tcW w:type="dxa" w:w="1234"/>
          </w:tcPr>
          <w:p>
            <w:r>
              <w:rPr>
                <w:rFonts w:ascii="Calibri" w:hAnsi="Calibri"/>
                <w:sz w:val="22"/>
              </w:rPr>
              <w:t>May 18, 2026</w:t>
            </w:r>
          </w:p>
        </w:tc>
        <w:tc>
          <w:tcPr>
            <w:tcW w:type="dxa" w:w="1234"/>
          </w:tcPr>
          <w:p>
            <w:r>
              <w:rPr>
                <w:rFonts w:ascii="Calibri" w:hAnsi="Calibri"/>
                <w:sz w:val="22"/>
              </w:rPr>
              <w:t>May 20, 2026</w:t>
            </w:r>
          </w:p>
        </w:tc>
        <w:tc>
          <w:tcPr>
            <w:tcW w:type="dxa" w:w="1234"/>
          </w:tcPr>
          <w:p>
            <w:r>
              <w:rPr>
                <w:rFonts w:ascii="Calibri" w:hAnsi="Calibri"/>
                <w:sz w:val="22"/>
              </w:rPr>
              <w:t>Discretionary (non-10b5-1); largest single transaction in window; retains ~848K shares</w:t>
            </w:r>
          </w:p>
        </w:tc>
      </w:tr>
      <w:tr>
        <w:tc>
          <w:tcPr>
            <w:tcW w:type="dxa" w:w="1234"/>
          </w:tcPr>
          <w:p>
            <w:r>
              <w:rPr>
                <w:rFonts w:ascii="Calibri" w:hAnsi="Calibri"/>
                <w:sz w:val="22"/>
              </w:rPr>
              <w:t>Xiao Deming</w:t>
            </w:r>
          </w:p>
        </w:tc>
        <w:tc>
          <w:tcPr>
            <w:tcW w:type="dxa" w:w="1234"/>
          </w:tcPr>
          <w:p>
            <w:r>
              <w:rPr>
                <w:rFonts w:ascii="Calibri" w:hAnsi="Calibri"/>
                <w:sz w:val="22"/>
              </w:rPr>
              <w:t>EVP, Global Operations</w:t>
            </w:r>
          </w:p>
        </w:tc>
        <w:tc>
          <w:tcPr>
            <w:tcW w:type="dxa" w:w="1234"/>
          </w:tcPr>
          <w:p>
            <w:r>
              <w:rPr>
                <w:rFonts w:ascii="Calibri" w:hAnsi="Calibri"/>
                <w:sz w:val="22"/>
              </w:rPr>
              <w:t>Open Market Sale</w:t>
            </w:r>
          </w:p>
        </w:tc>
        <w:tc>
          <w:tcPr>
            <w:tcW w:type="dxa" w:w="1234"/>
          </w:tcPr>
          <w:p>
            <w:r>
              <w:rPr>
                <w:rFonts w:ascii="Calibri" w:hAnsi="Calibri"/>
                <w:sz w:val="22"/>
              </w:rPr>
              <w:t>30,000</w:t>
            </w:r>
          </w:p>
        </w:tc>
        <w:tc>
          <w:tcPr>
            <w:tcW w:type="dxa" w:w="1234"/>
          </w:tcPr>
          <w:p>
            <w:r>
              <w:rPr>
                <w:rFonts w:ascii="Calibri" w:hAnsi="Calibri"/>
                <w:sz w:val="22"/>
              </w:rPr>
              <w:t>May 6, 2026</w:t>
            </w:r>
          </w:p>
        </w:tc>
        <w:tc>
          <w:tcPr>
            <w:tcW w:type="dxa" w:w="1234"/>
          </w:tcPr>
          <w:p>
            <w:r>
              <w:rPr>
                <w:rFonts w:ascii="Calibri" w:hAnsi="Calibri"/>
                <w:sz w:val="22"/>
              </w:rPr>
              <w:t>May 8, 2026</w:t>
            </w:r>
          </w:p>
        </w:tc>
        <w:tc>
          <w:tcPr>
            <w:tcW w:type="dxa" w:w="1234"/>
          </w:tcPr>
          <w:p>
            <w:r>
              <w:rPr>
                <w:rFonts w:ascii="Calibri" w:hAnsi="Calibri"/>
                <w:sz w:val="22"/>
              </w:rPr>
              <w:t>Discretionary (non-10b5-1); retains ~206K shares</w:t>
            </w:r>
          </w:p>
        </w:tc>
      </w:tr>
      <w:tr>
        <w:tc>
          <w:tcPr>
            <w:tcW w:type="dxa" w:w="1234"/>
          </w:tcPr>
          <w:p>
            <w:r>
              <w:rPr>
                <w:rFonts w:ascii="Calibri" w:hAnsi="Calibri"/>
                <w:sz w:val="22"/>
              </w:rPr>
              <w:t>Sciammas Maurice</w:t>
            </w:r>
          </w:p>
        </w:tc>
        <w:tc>
          <w:tcPr>
            <w:tcW w:type="dxa" w:w="1234"/>
          </w:tcPr>
          <w:p>
            <w:r>
              <w:rPr>
                <w:rFonts w:ascii="Calibri" w:hAnsi="Calibri"/>
                <w:sz w:val="22"/>
              </w:rPr>
              <w:t>EVP, WW Sales &amp; Marketing</w:t>
            </w:r>
          </w:p>
        </w:tc>
        <w:tc>
          <w:tcPr>
            <w:tcW w:type="dxa" w:w="1234"/>
          </w:tcPr>
          <w:p>
            <w:r>
              <w:rPr>
                <w:rFonts w:ascii="Calibri" w:hAnsi="Calibri"/>
                <w:sz w:val="22"/>
              </w:rPr>
              <w:t>10b5-1 Planned Sale</w:t>
            </w:r>
          </w:p>
        </w:tc>
        <w:tc>
          <w:tcPr>
            <w:tcW w:type="dxa" w:w="1234"/>
          </w:tcPr>
          <w:p>
            <w:r>
              <w:rPr>
                <w:rFonts w:ascii="Calibri" w:hAnsi="Calibri"/>
                <w:sz w:val="22"/>
              </w:rPr>
              <w:t>15,000</w:t>
            </w:r>
          </w:p>
        </w:tc>
        <w:tc>
          <w:tcPr>
            <w:tcW w:type="dxa" w:w="1234"/>
          </w:tcPr>
          <w:p>
            <w:r>
              <w:rPr>
                <w:rFonts w:ascii="Calibri" w:hAnsi="Calibri"/>
                <w:sz w:val="22"/>
              </w:rPr>
              <w:t>Jul 15, 2026</w:t>
            </w:r>
          </w:p>
        </w:tc>
        <w:tc>
          <w:tcPr>
            <w:tcW w:type="dxa" w:w="1234"/>
          </w:tcPr>
          <w:p>
            <w:r>
              <w:rPr>
                <w:rFonts w:ascii="Calibri" w:hAnsi="Calibri"/>
                <w:sz w:val="22"/>
              </w:rPr>
              <w:t>Jul 17, 2026</w:t>
            </w:r>
          </w:p>
        </w:tc>
        <w:tc>
          <w:tcPr>
            <w:tcW w:type="dxa" w:w="1234"/>
          </w:tcPr>
          <w:p>
            <w:r>
              <w:rPr>
                <w:rFonts w:ascii="Calibri" w:hAnsi="Calibri"/>
                <w:sz w:val="22"/>
              </w:rPr>
              <w:t>Pre-planned (10b5-1 plan est. Nov 24, 2025); retains ~152K shares</w:t>
            </w:r>
          </w:p>
        </w:tc>
      </w:tr>
      <w:tr>
        <w:tc>
          <w:tcPr>
            <w:tcW w:type="dxa" w:w="1234"/>
          </w:tcPr>
          <w:p>
            <w:r>
              <w:rPr>
                <w:rFonts w:ascii="Calibri" w:hAnsi="Calibri"/>
                <w:sz w:val="22"/>
              </w:rPr>
              <w:t>Sciammas Maurice</w:t>
            </w:r>
          </w:p>
        </w:tc>
        <w:tc>
          <w:tcPr>
            <w:tcW w:type="dxa" w:w="1234"/>
          </w:tcPr>
          <w:p>
            <w:r>
              <w:rPr>
                <w:rFonts w:ascii="Calibri" w:hAnsi="Calibri"/>
                <w:sz w:val="22"/>
              </w:rPr>
              <w:t>EVP, WW Sales &amp; Marketing</w:t>
            </w:r>
          </w:p>
        </w:tc>
        <w:tc>
          <w:tcPr>
            <w:tcW w:type="dxa" w:w="1234"/>
          </w:tcPr>
          <w:p>
            <w:r>
              <w:rPr>
                <w:rFonts w:ascii="Calibri" w:hAnsi="Calibri"/>
                <w:sz w:val="22"/>
              </w:rPr>
              <w:t>10b5-1 Planned Sale</w:t>
            </w:r>
          </w:p>
        </w:tc>
        <w:tc>
          <w:tcPr>
            <w:tcW w:type="dxa" w:w="1234"/>
          </w:tcPr>
          <w:p>
            <w:r>
              <w:rPr>
                <w:rFonts w:ascii="Calibri" w:hAnsi="Calibri"/>
                <w:sz w:val="22"/>
              </w:rPr>
              <w:t>12,000</w:t>
            </w:r>
          </w:p>
        </w:tc>
        <w:tc>
          <w:tcPr>
            <w:tcW w:type="dxa" w:w="1234"/>
          </w:tcPr>
          <w:p>
            <w:r>
              <w:rPr>
                <w:rFonts w:ascii="Calibri" w:hAnsi="Calibri"/>
                <w:sz w:val="22"/>
              </w:rPr>
              <w:t>May 15, 2026</w:t>
            </w:r>
          </w:p>
        </w:tc>
        <w:tc>
          <w:tcPr>
            <w:tcW w:type="dxa" w:w="1234"/>
          </w:tcPr>
          <w:p>
            <w:r>
              <w:rPr>
                <w:rFonts w:ascii="Calibri" w:hAnsi="Calibri"/>
                <w:sz w:val="22"/>
              </w:rPr>
              <w:t>May 19, 2026</w:t>
            </w:r>
          </w:p>
        </w:tc>
        <w:tc>
          <w:tcPr>
            <w:tcW w:type="dxa" w:w="1234"/>
          </w:tcPr>
          <w:p>
            <w:r>
              <w:rPr>
                <w:rFonts w:ascii="Calibri" w:hAnsi="Calibri"/>
                <w:sz w:val="22"/>
              </w:rPr>
              <w:t>Pre-planned (10b5-1); routine scheduled sale</w:t>
            </w:r>
          </w:p>
        </w:tc>
      </w:tr>
      <w:tr>
        <w:tc>
          <w:tcPr>
            <w:tcW w:type="dxa" w:w="1234"/>
          </w:tcPr>
          <w:p>
            <w:r>
              <w:rPr>
                <w:rFonts w:ascii="Calibri" w:hAnsi="Calibri"/>
                <w:sz w:val="22"/>
              </w:rPr>
              <w:t>Tseng Saria</w:t>
            </w:r>
          </w:p>
        </w:tc>
        <w:tc>
          <w:tcPr>
            <w:tcW w:type="dxa" w:w="1234"/>
          </w:tcPr>
          <w:p>
            <w:r>
              <w:rPr>
                <w:rFonts w:ascii="Calibri" w:hAnsi="Calibri"/>
                <w:sz w:val="22"/>
              </w:rPr>
              <w:t>EVP &amp; General Counsel</w:t>
            </w:r>
          </w:p>
        </w:tc>
        <w:tc>
          <w:tcPr>
            <w:tcW w:type="dxa" w:w="1234"/>
          </w:tcPr>
          <w:p>
            <w:r>
              <w:rPr>
                <w:rFonts w:ascii="Calibri" w:hAnsi="Calibri"/>
                <w:sz w:val="22"/>
              </w:rPr>
              <w:t>Open Market Sale</w:t>
            </w:r>
          </w:p>
        </w:tc>
        <w:tc>
          <w:tcPr>
            <w:tcW w:type="dxa" w:w="1234"/>
          </w:tcPr>
          <w:p>
            <w:r>
              <w:rPr>
                <w:rFonts w:ascii="Calibri" w:hAnsi="Calibri"/>
                <w:sz w:val="22"/>
              </w:rPr>
              <w:t>7,565</w:t>
            </w:r>
          </w:p>
        </w:tc>
        <w:tc>
          <w:tcPr>
            <w:tcW w:type="dxa" w:w="1234"/>
          </w:tcPr>
          <w:p>
            <w:r>
              <w:rPr>
                <w:rFonts w:ascii="Calibri" w:hAnsi="Calibri"/>
                <w:sz w:val="22"/>
              </w:rPr>
              <w:t>May 27, 2026</w:t>
            </w:r>
          </w:p>
        </w:tc>
        <w:tc>
          <w:tcPr>
            <w:tcW w:type="dxa" w:w="1234"/>
          </w:tcPr>
          <w:p>
            <w:r>
              <w:rPr>
                <w:rFonts w:ascii="Calibri" w:hAnsi="Calibri"/>
                <w:sz w:val="22"/>
              </w:rPr>
              <w:t>May 29, 2026</w:t>
            </w:r>
          </w:p>
        </w:tc>
        <w:tc>
          <w:tcPr>
            <w:tcW w:type="dxa" w:w="1234"/>
          </w:tcPr>
          <w:p>
            <w:r>
              <w:rPr>
                <w:rFonts w:ascii="Calibri" w:hAnsi="Calibri"/>
                <w:sz w:val="22"/>
              </w:rPr>
              <w:t>Discretionary (non-10b5-1); retains ~144K shares</w:t>
            </w:r>
          </w:p>
        </w:tc>
      </w:tr>
      <w:tr>
        <w:tc>
          <w:tcPr>
            <w:tcW w:type="dxa" w:w="1234"/>
          </w:tcPr>
          <w:p>
            <w:r>
              <w:rPr>
                <w:rFonts w:ascii="Calibri" w:hAnsi="Calibri"/>
                <w:sz w:val="22"/>
              </w:rPr>
              <w:t>Elmiger Eugen J</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12,000</w:t>
            </w:r>
          </w:p>
        </w:tc>
        <w:tc>
          <w:tcPr>
            <w:tcW w:type="dxa" w:w="1234"/>
          </w:tcPr>
          <w:p>
            <w:r>
              <w:rPr>
                <w:rFonts w:ascii="Calibri" w:hAnsi="Calibri"/>
                <w:sz w:val="22"/>
              </w:rPr>
              <w:t>May 6, 2026</w:t>
            </w:r>
          </w:p>
        </w:tc>
        <w:tc>
          <w:tcPr>
            <w:tcW w:type="dxa" w:w="1234"/>
          </w:tcPr>
          <w:p>
            <w:r>
              <w:rPr>
                <w:rFonts w:ascii="Calibri" w:hAnsi="Calibri"/>
                <w:sz w:val="22"/>
              </w:rPr>
              <w:t>May 8, 2026</w:t>
            </w:r>
          </w:p>
        </w:tc>
        <w:tc>
          <w:tcPr>
            <w:tcW w:type="dxa" w:w="1234"/>
          </w:tcPr>
          <w:p>
            <w:r>
              <w:rPr>
                <w:rFonts w:ascii="Calibri" w:hAnsi="Calibri"/>
                <w:sz w:val="22"/>
              </w:rPr>
              <w:t>Discretionary (non-10b5-1); retains ~5,402 shares post-sale</w:t>
            </w:r>
          </w:p>
        </w:tc>
      </w:tr>
      <w:tr>
        <w:tc>
          <w:tcPr>
            <w:tcW w:type="dxa" w:w="1234"/>
          </w:tcPr>
          <w:p>
            <w:r>
              <w:rPr>
                <w:rFonts w:ascii="Calibri" w:hAnsi="Calibri"/>
                <w:sz w:val="22"/>
              </w:rPr>
              <w:t>Zhou Jeff</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2,000 (combined)</w:t>
            </w:r>
          </w:p>
        </w:tc>
        <w:tc>
          <w:tcPr>
            <w:tcW w:type="dxa" w:w="1234"/>
          </w:tcPr>
          <w:p>
            <w:r>
              <w:rPr>
                <w:rFonts w:ascii="Calibri" w:hAnsi="Calibri"/>
                <w:sz w:val="22"/>
              </w:rPr>
              <w:t>May 5–6, 2026</w:t>
            </w:r>
          </w:p>
        </w:tc>
        <w:tc>
          <w:tcPr>
            <w:tcW w:type="dxa" w:w="1234"/>
          </w:tcPr>
          <w:p>
            <w:r>
              <w:rPr>
                <w:rFonts w:ascii="Calibri" w:hAnsi="Calibri"/>
                <w:sz w:val="22"/>
              </w:rPr>
              <w:t>May 6, 2026</w:t>
            </w:r>
          </w:p>
        </w:tc>
        <w:tc>
          <w:tcPr>
            <w:tcW w:type="dxa" w:w="1234"/>
          </w:tcPr>
          <w:p>
            <w:r>
              <w:rPr>
                <w:rFonts w:ascii="Calibri" w:hAnsi="Calibri"/>
                <w:sz w:val="22"/>
              </w:rPr>
              <w:t>Discretionary; two transactions; retains ~3,800 shares</w:t>
            </w:r>
          </w:p>
        </w:tc>
      </w:tr>
      <w:tr>
        <w:tc>
          <w:tcPr>
            <w:tcW w:type="dxa" w:w="1234"/>
          </w:tcPr>
          <w:p>
            <w:r>
              <w:rPr>
                <w:rFonts w:ascii="Calibri" w:hAnsi="Calibri"/>
                <w:sz w:val="22"/>
              </w:rPr>
              <w:t>Dean Robert W II</w:t>
            </w:r>
          </w:p>
        </w:tc>
        <w:tc>
          <w:tcPr>
            <w:tcW w:type="dxa" w:w="1234"/>
          </w:tcPr>
          <w:p>
            <w:r>
              <w:rPr>
                <w:rFonts w:ascii="Calibri" w:hAnsi="Calibri"/>
                <w:sz w:val="22"/>
              </w:rPr>
              <w:t>Interim CFO</w:t>
            </w:r>
          </w:p>
        </w:tc>
        <w:tc>
          <w:tcPr>
            <w:tcW w:type="dxa" w:w="1234"/>
          </w:tcPr>
          <w:p>
            <w:r>
              <w:rPr>
                <w:rFonts w:ascii="Calibri" w:hAnsi="Calibri"/>
                <w:sz w:val="22"/>
              </w:rPr>
              <w:t>10b5-1 Planned Sale</w:t>
            </w:r>
          </w:p>
        </w:tc>
        <w:tc>
          <w:tcPr>
            <w:tcW w:type="dxa" w:w="1234"/>
          </w:tcPr>
          <w:p>
            <w:r>
              <w:rPr>
                <w:rFonts w:ascii="Calibri" w:hAnsi="Calibri"/>
                <w:sz w:val="22"/>
              </w:rPr>
              <w:t>26 (combined)</w:t>
            </w:r>
          </w:p>
        </w:tc>
        <w:tc>
          <w:tcPr>
            <w:tcW w:type="dxa" w:w="1234"/>
          </w:tcPr>
          <w:p>
            <w:r>
              <w:rPr>
                <w:rFonts w:ascii="Calibri" w:hAnsi="Calibri"/>
                <w:sz w:val="22"/>
              </w:rPr>
              <w:t>May 18 &amp; 26, 2026</w:t>
            </w:r>
          </w:p>
        </w:tc>
        <w:tc>
          <w:tcPr>
            <w:tcW w:type="dxa" w:w="1234"/>
          </w:tcPr>
          <w:p>
            <w:r>
              <w:rPr>
                <w:rFonts w:ascii="Calibri" w:hAnsi="Calibri"/>
                <w:sz w:val="22"/>
              </w:rPr>
              <w:t>May 20 &amp; 28, 2026</w:t>
            </w:r>
          </w:p>
        </w:tc>
        <w:tc>
          <w:tcPr>
            <w:tcW w:type="dxa" w:w="1234"/>
          </w:tcPr>
          <w:p>
            <w:r>
              <w:rPr>
                <w:rFonts w:ascii="Calibri" w:hAnsi="Calibri"/>
                <w:sz w:val="22"/>
              </w:rPr>
              <w:t>Pre-planned (10b5-1); de minimis size; routine</w:t>
            </w:r>
          </w:p>
        </w:tc>
      </w:tr>
      <w:tr>
        <w:tc>
          <w:tcPr>
            <w:tcW w:type="dxa" w:w="1234"/>
          </w:tcPr>
          <w:p>
            <w:r>
              <w:rPr>
                <w:rFonts w:ascii="Calibri" w:hAnsi="Calibri"/>
                <w:sz w:val="22"/>
              </w:rPr>
              <w:t>Wynne Eileen</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335</w:t>
            </w:r>
          </w:p>
        </w:tc>
        <w:tc>
          <w:tcPr>
            <w:tcW w:type="dxa" w:w="1234"/>
          </w:tcPr>
          <w:p>
            <w:r>
              <w:rPr>
                <w:rFonts w:ascii="Calibri" w:hAnsi="Calibri"/>
                <w:sz w:val="22"/>
              </w:rPr>
              <w:t>May 6, 2026</w:t>
            </w:r>
          </w:p>
        </w:tc>
        <w:tc>
          <w:tcPr>
            <w:tcW w:type="dxa" w:w="1234"/>
          </w:tcPr>
          <w:p>
            <w:r>
              <w:rPr>
                <w:rFonts w:ascii="Calibri" w:hAnsi="Calibri"/>
                <w:sz w:val="22"/>
              </w:rPr>
              <w:t>May 8, 2026</w:t>
            </w:r>
          </w:p>
        </w:tc>
        <w:tc>
          <w:tcPr>
            <w:tcW w:type="dxa" w:w="1234"/>
          </w:tcPr>
          <w:p>
            <w:r>
              <w:rPr>
                <w:rFonts w:ascii="Calibri" w:hAnsi="Calibri"/>
                <w:sz w:val="22"/>
              </w:rPr>
              <w:t>Discretionary; small size; retains ~1,007 shares</w:t>
            </w:r>
          </w:p>
        </w:tc>
      </w:tr>
    </w:tbl>
    <w:p>
      <w:r>
        <w:rPr>
          <w:rFonts w:ascii="Calibri" w:hAnsi="Calibri"/>
          <w:color w:val="525866"/>
          <w:sz w:val="22"/>
        </w:rPr>
        <w:t>Source: SEC Form 4 filings (Insider Transaction Data). Transaction dates reflect actual execution dates; filing dates reflect SEC disclosure dates. Note that Form 4 filings are typically due within 2 business days of the transaction. The Sciammas Jul 15 sale was also preceded by a Form 144 notice of intended sale filed Jul 15, 2026 ($20.2M notional), consistent with the 10b5-1 plan established November 24, 2025.</w:t>
      </w:r>
    </w:p>
    <w:p>
      <w:r>
        <w:rPr>
          <w:rFonts w:ascii="Calibri" w:hAnsi="Calibri"/>
          <w:b/>
          <w:color w:val="525866"/>
          <w:sz w:val="22"/>
        </w:rPr>
        <w:t xml:space="preserve">Assessment: </w:t>
      </w:r>
      <w:r>
        <w:rPr>
          <w:rFonts w:ascii="Calibri" w:hAnsi="Calibri"/>
          <w:color w:val="525866"/>
          <w:sz w:val="22"/>
        </w:rPr>
        <w:t>The cluster of discretionary sales in early May (Hsing 40K shares, Xiao 30K shares, Elmiger 12K shares, Tseng 7.6K shares) is notable in size but occurred immediately after the Q1 earnings beat when the stock was near all-time highs (~$1,573–$1,652). This is a common pattern of post-earnings liquidity events and does not necessarily signal negative fundamental views. No open-market purchases have been filed in the window. The absence of any insider buying into the ~23% pullback is worth noting but is not unusual for a high-multiple growth stock where insiders already hold large positions.</w:t>
      </w:r>
    </w:p>
    <w:p>
      <w:r>
        <w:br w:type="page"/>
      </w:r>
    </w:p>
    <w:p>
      <w:pPr>
        <w:pStyle w:val="Heading2"/>
      </w:pPr>
      <w:r>
        <w:rPr>
          <w:rFonts w:ascii="Calibri" w:hAnsi="Calibri"/>
          <w:b/>
          <w:color w:val="3B4259"/>
          <w:sz w:val="28"/>
        </w:rPr>
        <w:t>9. Key Risks</w:t>
      </w:r>
    </w:p>
    <w:p>
      <w:r>
        <w:rPr>
          <w:rFonts w:ascii="Calibri" w:hAnsi="Calibri"/>
          <w:b/>
          <w:color w:val="525866"/>
          <w:sz w:val="22"/>
        </w:rPr>
        <w:t xml:space="preserve">Key Takeaway: </w:t>
      </w:r>
      <w:r>
        <w:rPr>
          <w:rFonts w:ascii="Calibri" w:hAnsi="Calibri"/>
          <w:color w:val="525866"/>
          <w:sz w:val="22"/>
        </w:rPr>
        <w:t>The primary risk heading into the print is not a revenue miss — peer read-throughs and the consistent beat cadence make that unlikely — but rather a deepening of management’s cautious H2 gross margin tone, which could reset FY 2026 EPS estimates and extend the multiple compression.</w:t>
      </w:r>
    </w:p>
    <w:p>
      <w:pPr>
        <w:pStyle w:val="ListBullet"/>
        <w:ind w:left="360" w:hanging="360"/>
      </w:pPr>
      <w:r>
        <w:rPr>
          <w:rFonts w:ascii="Calibri" w:hAnsi="Calibri"/>
          <w:b/>
          <w:color w:val="525866"/>
          <w:sz w:val="22"/>
        </w:rPr>
        <w:t>H2 Gross Margin Headwinds (High Impact):</w:t>
      </w:r>
      <w:r>
        <w:rPr>
          <w:rFonts w:ascii="Calibri" w:hAnsi="Calibri"/>
          <w:color w:val="525866"/>
          <w:sz w:val="22"/>
        </w:rPr>
        <w:t xml:space="preserve"> Management flagged “strong headwinds potentially in the second half” on the Q1 call. If Q2 guidance for H2 gross margins is more cautious than the current ~55.5% run-rate, FY 2026 EPS consensus of $24.16 could face downward revision. SWKS’s commentary on persistent input cost headwinds adds credibility to this risk.</w:t>
      </w:r>
    </w:p>
    <w:p>
      <w:pPr>
        <w:pStyle w:val="ListBullet"/>
        <w:ind w:left="360" w:hanging="360"/>
      </w:pPr>
      <w:r>
        <w:rPr>
          <w:rFonts w:ascii="Calibri" w:hAnsi="Calibri"/>
          <w:b/>
          <w:color w:val="525866"/>
          <w:sz w:val="22"/>
        </w:rPr>
        <w:t>Enterprise Data Growth Floor Sustainability (High Impact):</w:t>
      </w:r>
      <w:r>
        <w:rPr>
          <w:rFonts w:ascii="Calibri" w:hAnsi="Calibri"/>
          <w:color w:val="525866"/>
          <w:sz w:val="22"/>
        </w:rPr>
        <w:t xml:space="preserve"> The ~85% YoY FY 2026 growth floor is the single most important guidance metric. Any softening — whether from customer order pattern changes, supply chain constraints, or competitive pressure — would be a significant negative catalyst. The FY 2026 consensus of ~$1.33B implies ~$1.01B in H2, requiring continued strong ordering.</w:t>
      </w:r>
    </w:p>
    <w:p>
      <w:pPr>
        <w:pStyle w:val="ListBullet"/>
        <w:ind w:left="360" w:hanging="360"/>
      </w:pPr>
      <w:r>
        <w:rPr>
          <w:rFonts w:ascii="Calibri" w:hAnsi="Calibri"/>
          <w:b/>
          <w:color w:val="525866"/>
          <w:sz w:val="22"/>
        </w:rPr>
        <w:t>Geopolitical / Export Control Risk (Medium Impact):</w:t>
      </w:r>
      <w:r>
        <w:rPr>
          <w:rFonts w:ascii="Calibri" w:hAnsi="Calibri"/>
          <w:color w:val="525866"/>
          <w:sz w:val="22"/>
        </w:rPr>
        <w:t xml:space="preserve"> MPWR generates a significant portion of revenue from China-based customers and manufacturing. Escalating export controls, tariffs, or retaliatory measures could disrupt both supply and demand. Management acknowledged this risk on the Q1 call but stated the diversified supply chain strategy remains unchanged.</w:t>
      </w:r>
    </w:p>
    <w:p>
      <w:pPr>
        <w:pStyle w:val="ListBullet"/>
        <w:ind w:left="360" w:hanging="360"/>
      </w:pPr>
      <w:r>
        <w:rPr>
          <w:rFonts w:ascii="Calibri" w:hAnsi="Calibri"/>
          <w:b/>
          <w:color w:val="525866"/>
          <w:sz w:val="22"/>
        </w:rPr>
        <w:t>Memory Market Softness / DDR5 Timing (Medium Impact):</w:t>
      </w:r>
      <w:r>
        <w:rPr>
          <w:rFonts w:ascii="Calibri" w:hAnsi="Calibri"/>
          <w:color w:val="525866"/>
          <w:sz w:val="22"/>
        </w:rPr>
        <w:t xml:space="preserve"> MPWR’s Storage &amp; Computing segment (~22% of Q1 revenue) is exposed to DDR5 power management demand. Management flagged potential TAM headwinds from memory price elasticity and notebook market softness. Micron’s June selloff and broader memory sector volatility are worth monitoring.</w:t>
      </w:r>
    </w:p>
    <w:p>
      <w:pPr>
        <w:pStyle w:val="ListBullet"/>
        <w:ind w:left="360" w:hanging="360"/>
      </w:pPr>
      <w:r>
        <w:rPr>
          <w:rFonts w:ascii="Calibri" w:hAnsi="Calibri"/>
          <w:b/>
          <w:color w:val="525866"/>
          <w:sz w:val="22"/>
        </w:rPr>
        <w:t>High Valuation / Elevated Expectations Bar (Medium Impact):</w:t>
      </w:r>
      <w:r>
        <w:rPr>
          <w:rFonts w:ascii="Calibri" w:hAnsi="Calibri"/>
          <w:color w:val="525866"/>
          <w:sz w:val="22"/>
        </w:rPr>
        <w:t xml:space="preserve"> Even after the ~23% pullback, MPWR trades at ~46x NTM P/E — a premium that requires consistent execution. TXN’s post-earnings selloff despite a record beat illustrates the high-bar dynamic for semiconductor stocks in the current environment. Any guidance miss or tone shift could amplify the multiple compression.</w:t>
      </w:r>
    </w:p>
    <w:p>
      <w:pPr>
        <w:pStyle w:val="ListBullet"/>
        <w:ind w:left="360" w:hanging="360"/>
      </w:pPr>
      <w:r>
        <w:rPr>
          <w:rFonts w:ascii="Calibri" w:hAnsi="Calibri"/>
          <w:b/>
          <w:color w:val="525866"/>
          <w:sz w:val="22"/>
        </w:rPr>
        <w:t>CFO Transition (Low-Medium Impact):</w:t>
      </w:r>
      <w:r>
        <w:rPr>
          <w:rFonts w:ascii="Calibri" w:hAnsi="Calibri"/>
          <w:color w:val="525866"/>
          <w:sz w:val="22"/>
        </w:rPr>
        <w:t xml:space="preserve"> Bernie Blegen retired and Rob Dean is serving as Interim CFO. While Dean has been filing routine transactions and appears operationally engaged, the absence of a permanent CFO adds a modest governance uncertainty heading into a period of accelerating growth and capacity expansion.</w:t>
      </w:r>
    </w:p>
    <w:p>
      <w:pPr>
        <w:pStyle w:val="ListBullet"/>
        <w:ind w:left="360" w:hanging="360"/>
      </w:pPr>
      <w:r>
        <w:rPr>
          <w:rFonts w:ascii="Calibri" w:hAnsi="Calibri"/>
          <w:b/>
          <w:color w:val="525866"/>
          <w:sz w:val="22"/>
        </w:rPr>
        <w:t>Automotive H2 Ramp Execution (Low-Medium Impact):</w:t>
      </w:r>
      <w:r>
        <w:rPr>
          <w:rFonts w:ascii="Calibri" w:hAnsi="Calibri"/>
          <w:color w:val="525866"/>
          <w:sz w:val="22"/>
        </w:rPr>
        <w:t xml:space="preserve"> Management guided automotive “roughly flat H1, ramping H2.” If the H2 ramp is delayed due to EV subsidy changes, OEM production schedules, or ADAS program timing, the segment could disappoint relative to the implied H2 acceleration embedded in FY 2026 consensus.</w:t>
      </w:r>
    </w:p>
    <w:p>
      <w:pPr>
        <w:pStyle w:val="ListBullet"/>
        <w:ind w:left="360" w:hanging="360"/>
      </w:pPr>
      <w:r>
        <w:rPr>
          <w:rFonts w:ascii="Calibri" w:hAnsi="Calibri"/>
          <w:b/>
          <w:color w:val="525866"/>
          <w:sz w:val="22"/>
        </w:rPr>
        <w:t>Robotics / Physical AI Revenue Timing (Low Impact):</w:t>
      </w:r>
      <w:r>
        <w:rPr>
          <w:rFonts w:ascii="Calibri" w:hAnsi="Calibri"/>
          <w:color w:val="525866"/>
          <w:sz w:val="22"/>
        </w:rPr>
        <w:t xml:space="preserve"> Management described robotics as “moving the needle slightly” in 2026 with “still low” volumes. If investor expectations have gotten ahead of the actual revenue contribution, any conservative commentary on robotics timing could be a minor negative.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