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moderna-mrna-q2-2026-earnings-preview"/>
    <w:p>
      <w:pPr>
        <w:pStyle w:val="Heading1"/>
      </w:pPr>
      <w:r>
        <w:t xml:space="preserve">Moderna (MRNA) Q2 2026 Earnings Preview</w:t>
      </w:r>
    </w:p>
    <w:p>
      <w:pPr>
        <w:pStyle w:val="FirstParagraph"/>
      </w:pPr>
      <w:r>
        <w:rPr>
          <w:b/>
          <w:bCs/>
        </w:rPr>
        <w:t xml:space="preserve">Report date:</w:t>
      </w:r>
      <w:r>
        <w:t xml:space="preserve"> </w:t>
      </w:r>
      <w:r>
        <w:t xml:space="preserve">Friday,</w:t>
      </w:r>
      <w:r>
        <w:t xml:space="preserve"> </w:t>
      </w:r>
      <w:r>
        <w:rPr>
          <w:b/>
          <w:bCs/>
        </w:rPr>
        <w:t xml:space="preserve">July 31, 2026</w:t>
      </w:r>
      <w:r>
        <w:t xml:space="preserve">, before the market opens</w:t>
      </w:r>
      <w:r>
        <w:br/>
      </w:r>
      <w:r>
        <w:rPr>
          <w:b/>
          <w:bCs/>
        </w:rPr>
        <w:t xml:space="preserve">Conference call:</w:t>
      </w:r>
      <w:r>
        <w:t xml:space="preserve"> </w:t>
      </w:r>
      <w:r>
        <w:t xml:space="preserve">8:00 a.m. ET (</w:t>
      </w:r>
      <w:hyperlink r:id="rId9">
        <w:r>
          <w:rPr>
            <w:rStyle w:val="Hyperlink"/>
          </w:rPr>
          <w:t xml:space="preserve">investors.modernatx.com</w:t>
        </w:r>
      </w:hyperlink>
      <w:r>
        <w:t xml:space="preserve">)</w:t>
      </w:r>
    </w:p>
    <w:bookmarkStart w:id="10" w:name="investment-view-going-into-the-report"/>
    <w:p>
      <w:pPr>
        <w:pStyle w:val="Heading2"/>
      </w:pPr>
      <w:r>
        <w:t xml:space="preserve">Investment view going into the report</w:t>
      </w:r>
    </w:p>
    <w:p>
      <w:pPr>
        <w:pStyle w:val="FirstParagraph"/>
      </w:pPr>
      <w:r>
        <w:t xml:space="preserve">Moderna’s second quarter is seasonally small, so the headline revenue and EPS numbers are unlikely to determine the stock’s medium-term direction by themselves. The more consequential questions are:</w:t>
      </w:r>
    </w:p>
    <w:p>
      <w:pPr>
        <w:pStyle w:val="Compact"/>
        <w:numPr>
          <w:ilvl w:val="0"/>
          <w:numId w:val="1001"/>
        </w:numPr>
      </w:pPr>
      <w:r>
        <w:t xml:space="preserve">Can management preserve its</w:t>
      </w:r>
      <w:r>
        <w:t xml:space="preserve"> </w:t>
      </w:r>
      <w:r>
        <w:rPr>
          <w:b/>
          <w:bCs/>
        </w:rPr>
        <w:t xml:space="preserve">2026 revenue, expense and cash guidance</w:t>
      </w:r>
      <w:r>
        <w:t xml:space="preserve">?</w:t>
      </w:r>
    </w:p>
    <w:p>
      <w:pPr>
        <w:pStyle w:val="Compact"/>
        <w:numPr>
          <w:ilvl w:val="0"/>
          <w:numId w:val="1001"/>
        </w:numPr>
      </w:pPr>
      <w:r>
        <w:t xml:space="preserve">Is the</w:t>
      </w:r>
      <w:r>
        <w:t xml:space="preserve"> </w:t>
      </w:r>
      <w:r>
        <w:rPr>
          <w:b/>
          <w:bCs/>
        </w:rPr>
        <w:t xml:space="preserve">August 5 FDA decision for mRNA-1010</w:t>
      </w:r>
      <w:r>
        <w:t xml:space="preserve">, Moderna’s seasonal flu vaccine, still on track?</w:t>
      </w:r>
    </w:p>
    <w:p>
      <w:pPr>
        <w:pStyle w:val="Compact"/>
        <w:numPr>
          <w:ilvl w:val="0"/>
          <w:numId w:val="1001"/>
        </w:numPr>
      </w:pPr>
      <w:r>
        <w:t xml:space="preserve">Are the major 2026 pipeline readouts—especially</w:t>
      </w:r>
      <w:r>
        <w:t xml:space="preserve"> </w:t>
      </w:r>
      <w:r>
        <w:rPr>
          <w:b/>
          <w:bCs/>
        </w:rPr>
        <w:t xml:space="preserve">Phase 3 intismeran melanoma</w:t>
      </w:r>
      <w:r>
        <w:t xml:space="preserve">, norovirus and propionic acidemia—still expected this year?</w:t>
      </w:r>
    </w:p>
    <w:p>
      <w:pPr>
        <w:pStyle w:val="Compact"/>
        <w:numPr>
          <w:ilvl w:val="0"/>
          <w:numId w:val="1001"/>
        </w:numPr>
      </w:pPr>
      <w:r>
        <w:t xml:space="preserve">Is cash consumption improving quickly enough to support management’s longer-term path to breakeven?</w:t>
      </w:r>
    </w:p>
    <w:p>
      <w:pPr>
        <w:pStyle w:val="FirstParagraph"/>
      </w:pPr>
      <w:r>
        <w:t xml:space="preserve">A modest quarterly beat caused by shipment timing would be less important than credible guidance, regulatory clarity and unchanged catalyst timelines.</w:t>
      </w:r>
    </w:p>
    <w:bookmarkEnd w:id="10"/>
    <w:bookmarkStart w:id="14" w:name="headline-expectations"/>
    <w:p>
      <w:pPr>
        <w:pStyle w:val="Heading2"/>
      </w:pPr>
      <w:r>
        <w:t xml:space="preserve">Headline expectations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expectation</w:t>
            </w:r>
          </w:p>
        </w:tc>
      </w:tr>
      <w:tr>
        <w:tc>
          <w:tcPr/>
          <w:p>
            <w:pPr>
              <w:pStyle w:val="Compact"/>
            </w:pPr>
            <w:r>
              <w:t xml:space="preserve">Q2 revenue consensus</w:t>
            </w:r>
          </w:p>
        </w:tc>
        <w:tc>
          <w:tcPr/>
          <w:p>
            <w:pPr>
              <w:pStyle w:val="Compact"/>
              <w:jc w:val="right"/>
            </w:pPr>
            <w:r>
              <w:t xml:space="preserve">Approximately</w:t>
            </w:r>
            <w:r>
              <w:t xml:space="preserve"> </w:t>
            </w:r>
            <w:r>
              <w:rPr>
                <w:b/>
                <w:bCs/>
              </w:rPr>
              <w:t xml:space="preserve">$103 million</w:t>
            </w:r>
          </w:p>
        </w:tc>
      </w:tr>
      <w:tr>
        <w:tc>
          <w:tcPr/>
          <w:p>
            <w:pPr>
              <w:pStyle w:val="Compact"/>
            </w:pPr>
            <w:r>
              <w:t xml:space="preserve">Company Q2 revenue guidance</w:t>
            </w:r>
          </w:p>
        </w:tc>
        <w:tc>
          <w:tcPr/>
          <w:p>
            <w:pPr>
              <w:pStyle w:val="Compact"/>
              <w:jc w:val="right"/>
            </w:pPr>
            <m:oMath>
              <m:r>
                <m:t>50</m:t>
              </m:r>
              <m:r>
                <m:rPr>
                  <m:sty m:val="p"/>
                </m:rPr>
                <m:t>–</m:t>
              </m:r>
            </m:oMath>
            <w:r>
              <w:rPr>
                <w:b/>
                <w:bCs/>
              </w:rPr>
              <w:t xml:space="preserve">100 million</w:t>
            </w:r>
          </w:p>
        </w:tc>
      </w:tr>
      <w:tr>
        <w:tc>
          <w:tcPr/>
          <w:p>
            <w:pPr>
              <w:pStyle w:val="Compact"/>
            </w:pPr>
            <w:r>
              <w:t xml:space="preserve">Q2 EPS consensus</w:t>
            </w:r>
          </w:p>
        </w:tc>
        <w:tc>
          <w:tcPr/>
          <w:p>
            <w:pPr>
              <w:pStyle w:val="Compact"/>
              <w:jc w:val="right"/>
            </w:pPr>
            <w:r>
              <w:t xml:space="preserve">Approximately</w:t>
            </w:r>
            <w:r>
              <w:t xml:space="preserve"> </w:t>
            </w:r>
            <w:r>
              <w:rPr>
                <w:b/>
                <w:bCs/>
              </w:rPr>
              <w:t xml:space="preserve">$(2.04)</w:t>
            </w:r>
          </w:p>
        </w:tc>
      </w:tr>
      <w:tr>
        <w:tc>
          <w:tcPr/>
          <w:p>
            <w:pPr>
              <w:pStyle w:val="Compact"/>
            </w:pPr>
            <w:r>
              <w:t xml:space="preserve">Q2 2025 revenue</w:t>
            </w:r>
          </w:p>
        </w:tc>
        <w:tc>
          <w:tcPr/>
          <w:p>
            <w:pPr>
              <w:pStyle w:val="Compact"/>
              <w:jc w:val="right"/>
            </w:pPr>
            <w:r>
              <w:rPr>
                <w:b/>
                <w:bCs/>
              </w:rPr>
              <w:t xml:space="preserve">$142 million</w:t>
            </w:r>
          </w:p>
        </w:tc>
      </w:tr>
      <w:tr>
        <w:tc>
          <w:tcPr/>
          <w:p>
            <w:pPr>
              <w:pStyle w:val="Compact"/>
            </w:pPr>
            <w:r>
              <w:t xml:space="preserve">Q2 2025 GAAP EPS</w:t>
            </w:r>
          </w:p>
        </w:tc>
        <w:tc>
          <w:tcPr/>
          <w:p>
            <w:pPr>
              <w:pStyle w:val="Compact"/>
              <w:jc w:val="right"/>
            </w:pPr>
            <w:r>
              <w:rPr>
                <w:b/>
                <w:bCs/>
              </w:rPr>
              <w:t xml:space="preserve">$(2.13)</w:t>
            </w:r>
          </w:p>
        </w:tc>
      </w:tr>
    </w:tbl>
    <w:p>
      <w:pPr>
        <w:pStyle w:val="BodyText"/>
      </w:pPr>
      <w:r>
        <w:t xml:space="preserve">Published consensus estimates cluster around $103 million of revenue and a loss of roughly</w:t>
      </w:r>
      <w:r>
        <w:t xml:space="preserve"> </w:t>
      </w:r>
      <m:oMath>
        <m:r>
          <m:t>2.00</m:t>
        </m:r>
        <m:r>
          <m:rPr>
            <m:sty m:val="p"/>
          </m:rPr>
          <m:t>–</m:t>
        </m:r>
      </m:oMath>
      <w:r>
        <w:t xml:space="preserve">2.10 per share. That puts the Street slightly above management’s stated revenue range, which assumed an approximately even split between U.S. and international sales. (</w:t>
      </w:r>
      <w:hyperlink r:id="rId11">
        <w:r>
          <w:rPr>
            <w:rStyle w:val="Hyperlink"/>
          </w:rPr>
          <w:t xml:space="preserve">marketbeat.com</w:t>
        </w:r>
      </w:hyperlink>
      <w:r>
        <w:t xml:space="preserve">)</w:t>
      </w:r>
    </w:p>
    <w:bookmarkStart w:id="13" w:name="X04eb1363da6c6d47138b38f11838e653848669a"/>
    <w:p>
      <w:pPr>
        <w:pStyle w:val="Heading3"/>
      </w:pPr>
      <w:r>
        <w:t xml:space="preserve">Why the quarterly numbers are unusually noisy</w:t>
      </w:r>
    </w:p>
    <w:p>
      <w:pPr>
        <w:pStyle w:val="FirstParagraph"/>
      </w:pPr>
      <w:r>
        <w:t xml:space="preserve">The second quarter is normally a trough between respiratory-vaccine seasons. Revenue can also move between quarters based on government-contract delivery schedules. Q1 demonstrated this dynamic: revenue reached $389 million, largely because of international deliveries under long-term strategic partnerships. (</w:t>
      </w:r>
      <w:hyperlink r:id="rId12">
        <w:r>
          <w:rPr>
            <w:rStyle w:val="Hyperlink"/>
          </w:rPr>
          <w:t xml:space="preserve">sec.gov</w:t>
        </w:r>
      </w:hyperlink>
      <w:r>
        <w:t xml:space="preserve">)</w:t>
      </w:r>
    </w:p>
    <w:p>
      <w:pPr>
        <w:pStyle w:val="BodyText"/>
      </w:pPr>
      <w:r>
        <w:t xml:space="preserve">Investors should therefore distinguish between:</w:t>
      </w:r>
    </w:p>
    <w:p>
      <w:pPr>
        <w:pStyle w:val="Compact"/>
        <w:numPr>
          <w:ilvl w:val="0"/>
          <w:numId w:val="1002"/>
        </w:numPr>
      </w:pPr>
      <w:r>
        <w:rPr>
          <w:b/>
          <w:bCs/>
        </w:rPr>
        <w:t xml:space="preserve">Recurring commercial demand</w:t>
      </w:r>
      <w:r>
        <w:t xml:space="preserve">, particularly U.S. COVID sales;</w:t>
      </w:r>
    </w:p>
    <w:p>
      <w:pPr>
        <w:pStyle w:val="Compact"/>
        <w:numPr>
          <w:ilvl w:val="0"/>
          <w:numId w:val="1002"/>
        </w:numPr>
      </w:pPr>
      <w:r>
        <w:rPr>
          <w:b/>
          <w:bCs/>
        </w:rPr>
        <w:t xml:space="preserve">Contracted international deliveries</w:t>
      </w:r>
      <w:r>
        <w:t xml:space="preserve">;</w:t>
      </w:r>
    </w:p>
    <w:p>
      <w:pPr>
        <w:pStyle w:val="Compact"/>
        <w:numPr>
          <w:ilvl w:val="0"/>
          <w:numId w:val="1002"/>
        </w:numPr>
      </w:pPr>
      <w:r>
        <w:t xml:space="preserve">Grant, collaboration and other revenue; and</w:t>
      </w:r>
    </w:p>
    <w:p>
      <w:pPr>
        <w:pStyle w:val="Compact"/>
        <w:numPr>
          <w:ilvl w:val="0"/>
          <w:numId w:val="1002"/>
        </w:numPr>
      </w:pPr>
      <w:r>
        <w:t xml:space="preserve">Sales merely shifted between Q2 and the second half.</w:t>
      </w:r>
    </w:p>
    <w:p>
      <w:pPr>
        <w:pStyle w:val="FirstParagraph"/>
      </w:pPr>
      <w:r>
        <w:t xml:space="preserve">A revenue beat accompanied by lower second-half expectations would not be a clean positive.</w:t>
      </w:r>
    </w:p>
    <w:bookmarkEnd w:id="13"/>
    <w:bookmarkEnd w:id="14"/>
    <w:bookmarkStart w:id="15" w:name="X42c919e975bb752c40ca273407ad1d2712ee8d2"/>
    <w:p>
      <w:pPr>
        <w:pStyle w:val="Heading2"/>
      </w:pPr>
      <w:r>
        <w:t xml:space="preserve">The most important issue: full-year revenue guidance</w:t>
      </w:r>
    </w:p>
    <w:p>
      <w:pPr>
        <w:pStyle w:val="FirstParagraph"/>
      </w:pPr>
      <w:r>
        <w:t xml:space="preserve">Moderna entered the quarter targeting</w:t>
      </w:r>
      <w:r>
        <w:t xml:space="preserve"> </w:t>
      </w:r>
      <w:r>
        <w:rPr>
          <w:b/>
          <w:bCs/>
        </w:rPr>
        <w:t xml:space="preserve">up to 10% revenue growth in 2026</w:t>
      </w:r>
      <w:r>
        <w:t xml:space="preserve">, driven by international strategic partnerships and greater mNEXSPIKE penetration. The outlook did</w:t>
      </w:r>
      <w:r>
        <w:t xml:space="preserve"> </w:t>
      </w:r>
      <w:r>
        <w:rPr>
          <w:b/>
          <w:bCs/>
        </w:rPr>
        <w:t xml:space="preserve">not</w:t>
      </w:r>
      <w:r>
        <w:t xml:space="preserve"> </w:t>
      </w:r>
      <w:r>
        <w:t xml:space="preserve">assume 2026 revenue from the seasonal flu vaccine or the flu/COVID combination product.</w:t>
      </w:r>
    </w:p>
    <w:p>
      <w:pPr>
        <w:pStyle w:val="BodyText"/>
      </w:pPr>
      <w:r>
        <w:t xml:space="preserve">At the top end, 10% growth from 2025 revenue implies roughly</w:t>
      </w:r>
      <w:r>
        <w:t xml:space="preserve"> </w:t>
      </w:r>
      <w:r>
        <w:rPr>
          <w:b/>
          <w:bCs/>
        </w:rPr>
        <w:t xml:space="preserve">$2.14 billion</w:t>
      </w:r>
      <w:r>
        <w:t xml:space="preserve"> </w:t>
      </w:r>
      <w:r>
        <w:t xml:space="preserve">in 2026 revenue. After $389 million in Q1 and the</w:t>
      </w:r>
      <w:r>
        <w:t xml:space="preserve"> </w:t>
      </w:r>
      <m:oMath>
        <m:r>
          <m:t>50</m:t>
        </m:r>
        <m:r>
          <m:rPr>
            <m:sty m:val="p"/>
          </m:rPr>
          <m:t>–</m:t>
        </m:r>
      </m:oMath>
      <w:r>
        <w:t xml:space="preserve">100 million Q2 guide, Moderna would still need approximately</w:t>
      </w:r>
      <w:r>
        <w:t xml:space="preserve"> </w:t>
      </w:r>
      <m:oMath>
        <m:r>
          <m:t>1.65</m:t>
        </m:r>
        <m:r>
          <m:rPr>
            <m:sty m:val="p"/>
          </m:rPr>
          <m:t>–</m:t>
        </m:r>
      </m:oMath>
      <w:r>
        <w:rPr>
          <w:b/>
          <w:bCs/>
        </w:rPr>
        <w:t xml:space="preserve">1.70 billion in the second half</w:t>
      </w:r>
      <w:r>
        <w:t xml:space="preserve"> </w:t>
      </w:r>
      <w:r>
        <w:t xml:space="preserve">to reach that level.</w:t>
      </w:r>
    </w:p>
    <w:p>
      <w:pPr>
        <w:pStyle w:val="BodyText"/>
      </w:pPr>
      <w:r>
        <w:t xml:space="preserve">That is possible given the fall respiratory season, but it makes the following commentary critical:</w:t>
      </w:r>
    </w:p>
    <w:p>
      <w:pPr>
        <w:pStyle w:val="Compact"/>
        <w:numPr>
          <w:ilvl w:val="0"/>
          <w:numId w:val="1003"/>
        </w:numPr>
      </w:pPr>
      <w:r>
        <w:t xml:space="preserve">Early U.S. COVID ordering and vaccination assumptions;</w:t>
      </w:r>
    </w:p>
    <w:p>
      <w:pPr>
        <w:pStyle w:val="Compact"/>
        <w:numPr>
          <w:ilvl w:val="0"/>
          <w:numId w:val="1003"/>
        </w:numPr>
      </w:pPr>
      <w:r>
        <w:t xml:space="preserve">Expected U.K. fall-campaign deliveries;</w:t>
      </w:r>
    </w:p>
    <w:p>
      <w:pPr>
        <w:pStyle w:val="Compact"/>
        <w:numPr>
          <w:ilvl w:val="0"/>
          <w:numId w:val="1003"/>
        </w:numPr>
      </w:pPr>
      <w:r>
        <w:t xml:space="preserve">International contract timing;</w:t>
      </w:r>
    </w:p>
    <w:p>
      <w:pPr>
        <w:pStyle w:val="Compact"/>
        <w:numPr>
          <w:ilvl w:val="0"/>
          <w:numId w:val="1003"/>
        </w:numPr>
      </w:pPr>
      <w:r>
        <w:t xml:space="preserve">mNEXSPIKE market-share expectations; and</w:t>
      </w:r>
    </w:p>
    <w:p>
      <w:pPr>
        <w:pStyle w:val="Compact"/>
        <w:numPr>
          <w:ilvl w:val="0"/>
          <w:numId w:val="1003"/>
        </w:numPr>
      </w:pPr>
      <w:r>
        <w:t xml:space="preserve">Any changes in pricing, recommendations or eligible populations.</w:t>
      </w:r>
    </w:p>
    <w:p>
      <w:pPr>
        <w:pStyle w:val="FirstParagraph"/>
      </w:pPr>
      <w:r>
        <w:rPr>
          <w:b/>
          <w:bCs/>
        </w:rPr>
        <w:t xml:space="preserve">Best outcome:</w:t>
      </w:r>
      <w:r>
        <w:t xml:space="preserve"> </w:t>
      </w:r>
      <w:r>
        <w:t xml:space="preserve">management reiterates the growth target and sounds increasingly confident about contracted international revenue and fall demand.</w:t>
      </w:r>
    </w:p>
    <w:p>
      <w:pPr>
        <w:pStyle w:val="BodyText"/>
      </w:pPr>
      <w:r>
        <w:rPr>
          <w:b/>
          <w:bCs/>
        </w:rPr>
        <w:t xml:space="preserve">Warning sign:</w:t>
      </w:r>
      <w:r>
        <w:t xml:space="preserve"> </w:t>
      </w:r>
      <w:r>
        <w:t xml:space="preserve">a guide reduction attributed to lower U.S. vaccination rates or delayed government orders. Shipment timing would be less damaging than evidence of structurally weaker demand, but either could pressure estimates.</w:t>
      </w:r>
    </w:p>
    <w:bookmarkEnd w:id="15"/>
    <w:bookmarkStart w:id="16" w:name="cost-reductions-and-cash-preservation"/>
    <w:p>
      <w:pPr>
        <w:pStyle w:val="Heading2"/>
      </w:pPr>
      <w:r>
        <w:t xml:space="preserve">Cost reductions and cash preservation</w:t>
      </w:r>
    </w:p>
    <w:p>
      <w:pPr>
        <w:pStyle w:val="FirstParagraph"/>
      </w:pPr>
      <w:r>
        <w:t xml:space="preserve">Moderna ended Q1 with</w:t>
      </w:r>
      <w:r>
        <w:t xml:space="preserve"> </w:t>
      </w:r>
      <w:r>
        <w:rPr>
          <w:b/>
          <w:bCs/>
        </w:rPr>
        <w:t xml:space="preserve">$7.5 billion in cash and investments</w:t>
      </w:r>
      <w:r>
        <w:t xml:space="preserve">, down from $8.1 billion at year-end 2025. Its 2026 framework called for:</w:t>
      </w:r>
    </w:p>
    <w:p>
      <w:pPr>
        <w:pStyle w:val="Compact"/>
        <w:numPr>
          <w:ilvl w:val="0"/>
          <w:numId w:val="1004"/>
        </w:numPr>
      </w:pPr>
      <w:r>
        <w:rPr>
          <w:b/>
          <w:bCs/>
        </w:rPr>
        <w:t xml:space="preserve">R&amp;D:</w:t>
      </w:r>
      <w:r>
        <w:t xml:space="preserve"> </w:t>
      </w:r>
      <w:r>
        <w:t xml:space="preserve">approximately $3.0 billion;</w:t>
      </w:r>
    </w:p>
    <w:p>
      <w:pPr>
        <w:pStyle w:val="Compact"/>
        <w:numPr>
          <w:ilvl w:val="0"/>
          <w:numId w:val="1004"/>
        </w:numPr>
      </w:pPr>
      <w:r>
        <w:rPr>
          <w:b/>
          <w:bCs/>
        </w:rPr>
        <w:t xml:space="preserve">SG&amp;A:</w:t>
      </w:r>
      <w:r>
        <w:t xml:space="preserve"> </w:t>
      </w:r>
      <w:r>
        <w:t xml:space="preserve">approximately $1.0 billion;</w:t>
      </w:r>
    </w:p>
    <w:p>
      <w:pPr>
        <w:pStyle w:val="Compact"/>
        <w:numPr>
          <w:ilvl w:val="0"/>
          <w:numId w:val="1004"/>
        </w:numPr>
      </w:pPr>
      <w:r>
        <w:rPr>
          <w:b/>
          <w:bCs/>
        </w:rPr>
        <w:t xml:space="preserve">Capital expenditures:</w:t>
      </w:r>
      <w:r>
        <w:t xml:space="preserve"> </w:t>
      </w:r>
      <m:oMath>
        <m:r>
          <m:t>200</m:t>
        </m:r>
        <m:r>
          <m:rPr>
            <m:sty m:val="p"/>
          </m:rPr>
          <m:t>–</m:t>
        </m:r>
      </m:oMath>
      <w:r>
        <w:t xml:space="preserve">300 million; and</w:t>
      </w:r>
    </w:p>
    <w:p>
      <w:pPr>
        <w:pStyle w:val="Compact"/>
        <w:numPr>
          <w:ilvl w:val="0"/>
          <w:numId w:val="1004"/>
        </w:numPr>
      </w:pPr>
      <w:r>
        <w:rPr>
          <w:b/>
          <w:bCs/>
        </w:rPr>
        <w:t xml:space="preserve">Year-end cash and investments:</w:t>
      </w:r>
      <w:r>
        <w:t xml:space="preserve"> </w:t>
      </w:r>
      <m:oMath>
        <m:r>
          <m:t>4.5</m:t>
        </m:r>
        <m:r>
          <m:rPr>
            <m:sty m:val="p"/>
          </m:rPr>
          <m:t>–</m:t>
        </m:r>
      </m:oMath>
      <w:r>
        <w:t xml:space="preserve">5.0 billion.</w:t>
      </w:r>
    </w:p>
    <w:p>
      <w:pPr>
        <w:pStyle w:val="FirstParagraph"/>
      </w:pPr>
      <w:r>
        <w:t xml:space="preserve">The cash forecast also incorporates a</w:t>
      </w:r>
      <w:r>
        <w:t xml:space="preserve"> </w:t>
      </w:r>
      <w:r>
        <w:rPr>
          <w:b/>
          <w:bCs/>
        </w:rPr>
        <w:t xml:space="preserve">$950 million Arbutus/Genevant settlement payment expected in Q3</w:t>
      </w:r>
      <w:r>
        <w:t xml:space="preserve">. (</w:t>
      </w:r>
      <w:hyperlink r:id="rId12">
        <w:r>
          <w:rPr>
            <w:rStyle w:val="Hyperlink"/>
          </w:rPr>
          <w:t xml:space="preserve">sec.gov</w:t>
        </w:r>
      </w:hyperlink>
      <w:r>
        <w:t xml:space="preserve">)</w:t>
      </w:r>
    </w:p>
    <w:p>
      <w:pPr>
        <w:pStyle w:val="BodyText"/>
      </w:pPr>
      <w:r>
        <w:t xml:space="preserve">The Q2 cash balance matters more than the accounting loss. Investors should watch:</w:t>
      </w:r>
    </w:p>
    <w:p>
      <w:pPr>
        <w:pStyle w:val="Compact"/>
        <w:numPr>
          <w:ilvl w:val="0"/>
          <w:numId w:val="1005"/>
        </w:numPr>
      </w:pPr>
      <w:r>
        <w:rPr>
          <w:b/>
          <w:bCs/>
        </w:rPr>
        <w:t xml:space="preserve">Underlying operating cash use.</w:t>
      </w:r>
      <w:r>
        <w:t xml:space="preserve"> </w:t>
      </w:r>
      <w:r>
        <w:t xml:space="preserve">Q1 operating cash burn was substantially better year over year, but Moderna still has a large fixed research and manufacturing base.</w:t>
      </w:r>
    </w:p>
    <w:p>
      <w:pPr>
        <w:pStyle w:val="Compact"/>
        <w:numPr>
          <w:ilvl w:val="0"/>
          <w:numId w:val="1005"/>
        </w:numPr>
      </w:pPr>
      <w:r>
        <w:rPr>
          <w:b/>
          <w:bCs/>
        </w:rPr>
        <w:t xml:space="preserve">R&amp;D phasing.</w:t>
      </w:r>
      <w:r>
        <w:t xml:space="preserve"> </w:t>
      </w:r>
      <w:r>
        <w:t xml:space="preserve">Management previously said R&amp;D would be weighted toward the second half, so a low Q2 expense number could simply defer spending.</w:t>
      </w:r>
    </w:p>
    <w:p>
      <w:pPr>
        <w:pStyle w:val="Compact"/>
        <w:numPr>
          <w:ilvl w:val="0"/>
          <w:numId w:val="1005"/>
        </w:numPr>
      </w:pPr>
      <w:r>
        <w:rPr>
          <w:b/>
          <w:bCs/>
        </w:rPr>
        <w:t xml:space="preserve">Manufacturing efficiency.</w:t>
      </w:r>
      <w:r>
        <w:t xml:space="preserve"> </w:t>
      </w:r>
      <w:r>
        <w:t xml:space="preserve">Gross margin remains distorted at low sales volumes by unused capacity, inventory charges and purchase commitments.</w:t>
      </w:r>
    </w:p>
    <w:p>
      <w:pPr>
        <w:pStyle w:val="Compact"/>
        <w:numPr>
          <w:ilvl w:val="0"/>
          <w:numId w:val="1005"/>
        </w:numPr>
      </w:pPr>
      <w:r>
        <w:rPr>
          <w:b/>
          <w:bCs/>
        </w:rPr>
        <w:t xml:space="preserve">Year-end liquidity guidance.</w:t>
      </w:r>
      <w:r>
        <w:t xml:space="preserve"> </w:t>
      </w:r>
      <w:r>
        <w:t xml:space="preserve">Retaining the</w:t>
      </w:r>
      <w:r>
        <w:t xml:space="preserve"> </w:t>
      </w:r>
      <m:oMath>
        <m:r>
          <m:t>4.5</m:t>
        </m:r>
        <m:r>
          <m:rPr>
            <m:sty m:val="p"/>
          </m:rPr>
          <m:t>–</m:t>
        </m:r>
      </m:oMath>
      <w:r>
        <w:t xml:space="preserve">5.0 billion range would indicate that cost reductions remain on schedule.</w:t>
      </w:r>
    </w:p>
    <w:p>
      <w:pPr>
        <w:pStyle w:val="FirstParagraph"/>
      </w:pPr>
      <w:r>
        <w:t xml:space="preserve">A quarterly EPS beat driven by delayed R&amp;D would be low quality. A beat accompanied by lower full-year cash costs would be much more meaningful.</w:t>
      </w:r>
    </w:p>
    <w:bookmarkEnd w:id="16"/>
    <w:bookmarkStart w:id="17" w:name="X562106f0a9d42348fe31e135ab9d9ff1eeba19f"/>
    <w:p>
      <w:pPr>
        <w:pStyle w:val="Heading2"/>
      </w:pPr>
      <w:r>
        <w:t xml:space="preserve">The near-term swing factor: mRNA-1010 flu vaccine</w:t>
      </w:r>
    </w:p>
    <w:p>
      <w:pPr>
        <w:pStyle w:val="FirstParagraph"/>
      </w:pPr>
      <w:r>
        <w:t xml:space="preserve">The FDA’s PDUFA goal date for Moderna’s seasonal flu vaccine,</w:t>
      </w:r>
      <w:r>
        <w:t xml:space="preserve"> </w:t>
      </w:r>
      <w:r>
        <w:rPr>
          <w:b/>
          <w:bCs/>
        </w:rPr>
        <w:t xml:space="preserve">mRNA-1010, is August 5, 2026—five days after earnings</w:t>
      </w:r>
      <w:r>
        <w:t xml:space="preserve">. The candidate previously demonstrated 26.6% superior relative efficacy to a licensed standard-dose flu vaccine in adults 50 and older.</w:t>
      </w:r>
    </w:p>
    <w:p>
      <w:pPr>
        <w:pStyle w:val="BodyText"/>
      </w:pPr>
      <w:r>
        <w:t xml:space="preserve">Management described the FDA review as proceeding normally on the Q1 call. Approval would give Moderna a fifth approved product and strengthen its respiratory franchise ahead of potential 2027 commercialization. Importantly, because management excluded flu revenue from its 2026 forecast, approval would principally affect 2027 expectations rather than the current-year guide.</w:t>
      </w:r>
    </w:p>
    <w:p>
      <w:pPr>
        <w:pStyle w:val="BodyText"/>
      </w:pPr>
      <w:r>
        <w:t xml:space="preserve">Questions investors will want answered:</w:t>
      </w:r>
    </w:p>
    <w:p>
      <w:pPr>
        <w:pStyle w:val="Compact"/>
        <w:numPr>
          <w:ilvl w:val="0"/>
          <w:numId w:val="1006"/>
        </w:numPr>
      </w:pPr>
      <w:r>
        <w:t xml:space="preserve">Has the review remained on schedule through late July?</w:t>
      </w:r>
    </w:p>
    <w:p>
      <w:pPr>
        <w:pStyle w:val="Compact"/>
        <w:numPr>
          <w:ilvl w:val="0"/>
          <w:numId w:val="1006"/>
        </w:numPr>
      </w:pPr>
      <w:r>
        <w:t xml:space="preserve">Are there unresolved manufacturing, labeling or postmarketing issues?</w:t>
      </w:r>
    </w:p>
    <w:p>
      <w:pPr>
        <w:pStyle w:val="Compact"/>
        <w:numPr>
          <w:ilvl w:val="0"/>
          <w:numId w:val="1006"/>
        </w:numPr>
      </w:pPr>
      <w:r>
        <w:t xml:space="preserve">If approved, when can Moderna secure recommendations, contracting and reimbursement?</w:t>
      </w:r>
    </w:p>
    <w:p>
      <w:pPr>
        <w:pStyle w:val="Compact"/>
        <w:numPr>
          <w:ilvl w:val="0"/>
          <w:numId w:val="1006"/>
        </w:numPr>
      </w:pPr>
      <w:r>
        <w:t xml:space="preserve">Could any initial inventory or launch costs affect second-half spending?</w:t>
      </w:r>
    </w:p>
    <w:p>
      <w:pPr>
        <w:pStyle w:val="Compact"/>
        <w:numPr>
          <w:ilvl w:val="0"/>
          <w:numId w:val="1006"/>
        </w:numPr>
      </w:pPr>
      <w:r>
        <w:t xml:space="preserve">Would approval help restart the U.S. filing for</w:t>
      </w:r>
      <w:r>
        <w:t xml:space="preserve"> </w:t>
      </w:r>
      <w:r>
        <w:rPr>
          <w:b/>
          <w:bCs/>
        </w:rPr>
        <w:t xml:space="preserve">mCOMBRIAX</w:t>
      </w:r>
      <w:r>
        <w:t xml:space="preserve">, the flu/COVID combination vaccine?</w:t>
      </w:r>
    </w:p>
    <w:p>
      <w:pPr>
        <w:pStyle w:val="FirstParagraph"/>
      </w:pPr>
      <w:r>
        <w:t xml:space="preserve">Management may avoid detailed FDA commentary so close to the action date. Nevertheless, any indication of a delay or unresolved review issue would likely outweigh the Q2 financial results.</w:t>
      </w:r>
    </w:p>
    <w:bookmarkEnd w:id="17"/>
    <w:bookmarkStart w:id="19" w:name="Xf445c561433a96289a6944c2f85600caa283c83"/>
    <w:p>
      <w:pPr>
        <w:pStyle w:val="Heading2"/>
      </w:pPr>
      <w:r>
        <w:t xml:space="preserve">Intismeran: the largest pipeline value driver</w:t>
      </w:r>
    </w:p>
    <w:p>
      <w:pPr>
        <w:pStyle w:val="FirstParagraph"/>
      </w:pPr>
      <w:r>
        <w:t xml:space="preserve">Moderna and Merck’s individualized cancer therapy,</w:t>
      </w:r>
      <w:r>
        <w:t xml:space="preserve"> </w:t>
      </w:r>
      <w:r>
        <w:rPr>
          <w:b/>
          <w:bCs/>
        </w:rPr>
        <w:t xml:space="preserve">intismeran autogene</w:t>
      </w:r>
      <w:r>
        <w:t xml:space="preserve">, remains the most important non-respiratory asset.</w:t>
      </w:r>
    </w:p>
    <w:p>
      <w:pPr>
        <w:pStyle w:val="BodyText"/>
      </w:pPr>
      <w:r>
        <w:t xml:space="preserve">Five-year Phase 2b melanoma data presented at ASCO showed:</w:t>
      </w:r>
    </w:p>
    <w:p>
      <w:pPr>
        <w:pStyle w:val="Compact"/>
        <w:numPr>
          <w:ilvl w:val="0"/>
          <w:numId w:val="1007"/>
        </w:numPr>
      </w:pPr>
      <w:r>
        <w:t xml:space="preserve">A</w:t>
      </w:r>
      <w:r>
        <w:t xml:space="preserve"> </w:t>
      </w:r>
      <w:r>
        <w:rPr>
          <w:b/>
          <w:bCs/>
        </w:rPr>
        <w:t xml:space="preserve">49% reduction</w:t>
      </w:r>
      <w:r>
        <w:t xml:space="preserve"> </w:t>
      </w:r>
      <w:r>
        <w:t xml:space="preserve">in the risk of recurrence or death;</w:t>
      </w:r>
    </w:p>
    <w:p>
      <w:pPr>
        <w:pStyle w:val="Compact"/>
        <w:numPr>
          <w:ilvl w:val="0"/>
          <w:numId w:val="1007"/>
        </w:numPr>
      </w:pPr>
      <w:r>
        <w:t xml:space="preserve">A</w:t>
      </w:r>
      <w:r>
        <w:t xml:space="preserve"> </w:t>
      </w:r>
      <w:r>
        <w:rPr>
          <w:b/>
          <w:bCs/>
        </w:rPr>
        <w:t xml:space="preserve">59% reduction</w:t>
      </w:r>
      <w:r>
        <w:t xml:space="preserve"> </w:t>
      </w:r>
      <w:r>
        <w:t xml:space="preserve">in the risk of distant metastasis or death; and</w:t>
      </w:r>
    </w:p>
    <w:p>
      <w:pPr>
        <w:pStyle w:val="Compact"/>
        <w:numPr>
          <w:ilvl w:val="0"/>
          <w:numId w:val="1007"/>
        </w:numPr>
      </w:pPr>
      <w:r>
        <w:t xml:space="preserve">Five-year recurrence-free survival of</w:t>
      </w:r>
      <w:r>
        <w:t xml:space="preserve"> </w:t>
      </w:r>
      <w:r>
        <w:rPr>
          <w:b/>
          <w:bCs/>
        </w:rPr>
        <w:t xml:space="preserve">68.8% versus 49.1%</w:t>
      </w:r>
      <w:r>
        <w:t xml:space="preserve"> </w:t>
      </w:r>
      <w:r>
        <w:t xml:space="preserve">for Keytruda alone. (</w:t>
      </w:r>
      <w:hyperlink r:id="rId18">
        <w:r>
          <w:rPr>
            <w:rStyle w:val="Hyperlink"/>
          </w:rPr>
          <w:t xml:space="preserve">merck.com</w:t>
        </w:r>
      </w:hyperlink>
      <w:r>
        <w:t xml:space="preserve">)</w:t>
      </w:r>
    </w:p>
    <w:p>
      <w:pPr>
        <w:pStyle w:val="FirstParagraph"/>
      </w:pPr>
      <w:r>
        <w:t xml:space="preserve">The fully enrolled Phase 3 adjuvant melanoma study is expected to conduct an interim analysis in 2026. Management has said that this interim analysis can either declare success or allow the study to continue; there is no planned futility outcome at that analysis.</w:t>
      </w:r>
    </w:p>
    <w:p>
      <w:pPr>
        <w:pStyle w:val="BodyText"/>
      </w:pPr>
      <w:r>
        <w:t xml:space="preserve">The earnings call should clarify:</w:t>
      </w:r>
    </w:p>
    <w:p>
      <w:pPr>
        <w:pStyle w:val="Compact"/>
        <w:numPr>
          <w:ilvl w:val="0"/>
          <w:numId w:val="1008"/>
        </w:numPr>
      </w:pPr>
      <w:r>
        <w:t xml:space="preserve">Whether the Phase 3 interim analysis is still confidently expected in 2026;</w:t>
      </w:r>
    </w:p>
    <w:p>
      <w:pPr>
        <w:pStyle w:val="Compact"/>
        <w:numPr>
          <w:ilvl w:val="0"/>
          <w:numId w:val="1008"/>
        </w:numPr>
      </w:pPr>
      <w:r>
        <w:t xml:space="preserve">Whether event accrual is tracking as expected;</w:t>
      </w:r>
    </w:p>
    <w:p>
      <w:pPr>
        <w:pStyle w:val="Compact"/>
        <w:numPr>
          <w:ilvl w:val="0"/>
          <w:numId w:val="1008"/>
        </w:numPr>
      </w:pPr>
      <w:r>
        <w:t xml:space="preserve">Progress in additional melanoma, lung, bladder and renal-cell studies;</w:t>
      </w:r>
    </w:p>
    <w:p>
      <w:pPr>
        <w:pStyle w:val="Compact"/>
        <w:numPr>
          <w:ilvl w:val="0"/>
          <w:numId w:val="1008"/>
        </w:numPr>
      </w:pPr>
      <w:r>
        <w:t xml:space="preserve">Manufacturing readiness for an individualized product; and</w:t>
      </w:r>
    </w:p>
    <w:p>
      <w:pPr>
        <w:pStyle w:val="Compact"/>
        <w:numPr>
          <w:ilvl w:val="0"/>
          <w:numId w:val="1008"/>
        </w:numPr>
      </w:pPr>
      <w:r>
        <w:t xml:space="preserve">Whether Moderna still sees a possible initial revenue contribution following a successful pivotal result and regulatory process.</w:t>
      </w:r>
    </w:p>
    <w:p>
      <w:pPr>
        <w:pStyle w:val="FirstParagraph"/>
      </w:pPr>
      <w:r>
        <w:t xml:space="preserve">A narrowed timeline would be positive. A shift from “2026” to open-ended event-driven language would likely be interpreted as a delay, even if the underlying trial remains healthy.</w:t>
      </w:r>
    </w:p>
    <w:bookmarkEnd w:id="19"/>
    <w:bookmarkStart w:id="24" w:name="other-2026-pipeline-readouts"/>
    <w:p>
      <w:pPr>
        <w:pStyle w:val="Heading2"/>
      </w:pPr>
      <w:r>
        <w:t xml:space="preserve">Other 2026 pipeline readouts</w:t>
      </w:r>
    </w:p>
    <w:bookmarkStart w:id="20" w:name="norovirus-vaccine"/>
    <w:p>
      <w:pPr>
        <w:pStyle w:val="Heading3"/>
      </w:pPr>
      <w:r>
        <w:t xml:space="preserve">Norovirus vaccine</w:t>
      </w:r>
    </w:p>
    <w:p>
      <w:pPr>
        <w:pStyle w:val="FirstParagraph"/>
      </w:pPr>
      <w:r>
        <w:t xml:space="preserve">The Phase 3 mRNA-1403 study is fully enrolled for a second Northern Hemisphere season, with efficacy data expected in 2026 subject to case accrual.</w:t>
      </w:r>
    </w:p>
    <w:p>
      <w:pPr>
        <w:pStyle w:val="BodyText"/>
      </w:pPr>
      <w:r>
        <w:t xml:space="preserve">Because no norovirus vaccine is currently approved, a statistically significant result with clinically meaningful efficacy could create a sizable new commercial category. Management previously suggested that efficacy above roughly 50% would be meaningful.</w:t>
      </w:r>
    </w:p>
    <w:p>
      <w:pPr>
        <w:pStyle w:val="BodyText"/>
      </w:pPr>
      <w:r>
        <w:t xml:space="preserve">Key question:</w:t>
      </w:r>
      <w:r>
        <w:t xml:space="preserve"> </w:t>
      </w:r>
      <w:r>
        <w:rPr>
          <w:b/>
          <w:bCs/>
        </w:rPr>
        <w:t xml:space="preserve">Has sufficient case accrual occurred to preserve a 2026 readout?</w:t>
      </w:r>
    </w:p>
    <w:bookmarkEnd w:id="20"/>
    <w:bookmarkStart w:id="21" w:name="propionic-acidemia"/>
    <w:p>
      <w:pPr>
        <w:pStyle w:val="Heading3"/>
      </w:pPr>
      <w:r>
        <w:t xml:space="preserve">Propionic acidemia</w:t>
      </w:r>
    </w:p>
    <w:p>
      <w:pPr>
        <w:pStyle w:val="FirstParagraph"/>
      </w:pPr>
      <w:r>
        <w:t xml:space="preserve">Moderna’s mRNA-3927 registrational study has reached target enrollment, with data expected in 2026. This is important not only for the individual program but also as proof of concept for repeat-dose systemic mRNA therapeutics.</w:t>
      </w:r>
    </w:p>
    <w:p>
      <w:pPr>
        <w:pStyle w:val="BodyText"/>
      </w:pPr>
      <w:r>
        <w:t xml:space="preserve">Investors should listen for:</w:t>
      </w:r>
    </w:p>
    <w:p>
      <w:pPr>
        <w:pStyle w:val="Compact"/>
        <w:numPr>
          <w:ilvl w:val="0"/>
          <w:numId w:val="1009"/>
        </w:numPr>
      </w:pPr>
      <w:r>
        <w:t xml:space="preserve">Confirmation of a 2026 readout;</w:t>
      </w:r>
    </w:p>
    <w:p>
      <w:pPr>
        <w:pStyle w:val="Compact"/>
        <w:numPr>
          <w:ilvl w:val="0"/>
          <w:numId w:val="1009"/>
        </w:numPr>
      </w:pPr>
      <w:r>
        <w:t xml:space="preserve">Regulatory discussions around the registrational endpoint;</w:t>
      </w:r>
    </w:p>
    <w:p>
      <w:pPr>
        <w:pStyle w:val="Compact"/>
        <w:numPr>
          <w:ilvl w:val="0"/>
          <w:numId w:val="1009"/>
        </w:numPr>
      </w:pPr>
      <w:r>
        <w:t xml:space="preserve">Safety and dosing observations; and</w:t>
      </w:r>
    </w:p>
    <w:p>
      <w:pPr>
        <w:pStyle w:val="Compact"/>
        <w:numPr>
          <w:ilvl w:val="0"/>
          <w:numId w:val="1009"/>
        </w:numPr>
      </w:pPr>
      <w:r>
        <w:t xml:space="preserve">Whether the result will determine advancement of the related methylmalonic acidemia program.</w:t>
      </w:r>
    </w:p>
    <w:bookmarkEnd w:id="21"/>
    <w:bookmarkStart w:id="23" w:name="earlier-stage-platform"/>
    <w:p>
      <w:pPr>
        <w:pStyle w:val="Heading3"/>
      </w:pPr>
      <w:r>
        <w:t xml:space="preserve">Earlier-stage platform</w:t>
      </w:r>
    </w:p>
    <w:p>
      <w:pPr>
        <w:pStyle w:val="FirstParagraph"/>
      </w:pPr>
      <w:r>
        <w:t xml:space="preserve">Moderna’s June Science Day highlighted T-cell engagers, cancer-antigen therapies and an in-vivo CAR-T program. These assets help establish long-term optionality, but they should remain secondary in an earnings reaction unless management reports a major clinical signal or meaningful change in spending. (</w:t>
      </w:r>
      <w:hyperlink r:id="rId22">
        <w:r>
          <w:rPr>
            <w:rStyle w:val="Hyperlink"/>
          </w:rPr>
          <w:t xml:space="preserve">modernatx.com</w:t>
        </w:r>
      </w:hyperlink>
      <w:r>
        <w:t xml:space="preserve">)</w:t>
      </w:r>
    </w:p>
    <w:bookmarkEnd w:id="23"/>
    <w:bookmarkEnd w:id="24"/>
    <w:bookmarkStart w:id="26" w:name="litigation-remains-an-overhang"/>
    <w:p>
      <w:pPr>
        <w:pStyle w:val="Heading2"/>
      </w:pPr>
      <w:r>
        <w:t xml:space="preserve">Litigation remains an overhang</w:t>
      </w:r>
    </w:p>
    <w:p>
      <w:pPr>
        <w:pStyle w:val="FirstParagraph"/>
      </w:pPr>
      <w:r>
        <w:t xml:space="preserve">The Arbutus/Genevant settlement has already created a major charge and upcoming cash payment. Separately, Sanofi filed a new patent suit in July alleging that Moderna’s COVID vaccine infringes patents covering mRNA and lipid-nanoparticle technology. Sanofi is seeking compensation rather than an injunction blocking vaccine sales. (</w:t>
      </w:r>
      <w:hyperlink r:id="rId25">
        <w:r>
          <w:rPr>
            <w:rStyle w:val="Hyperlink"/>
          </w:rPr>
          <w:t xml:space="preserve">sahmcapital.com</w:t>
        </w:r>
      </w:hyperlink>
      <w:r>
        <w:t xml:space="preserve">)</w:t>
      </w:r>
    </w:p>
    <w:p>
      <w:pPr>
        <w:pStyle w:val="BodyText"/>
      </w:pPr>
      <w:r>
        <w:t xml:space="preserve">The new case is unlikely to affect Q2 operating results, but investors should look for any disclosure regarding:</w:t>
      </w:r>
    </w:p>
    <w:p>
      <w:pPr>
        <w:pStyle w:val="Compact"/>
        <w:numPr>
          <w:ilvl w:val="0"/>
          <w:numId w:val="1010"/>
        </w:numPr>
      </w:pPr>
      <w:r>
        <w:t xml:space="preserve">The scope of the alleged infringement;</w:t>
      </w:r>
    </w:p>
    <w:p>
      <w:pPr>
        <w:pStyle w:val="Compact"/>
        <w:numPr>
          <w:ilvl w:val="0"/>
          <w:numId w:val="1010"/>
        </w:numPr>
      </w:pPr>
      <w:r>
        <w:t xml:space="preserve">Whether products beyond Spikevax are implicated;</w:t>
      </w:r>
    </w:p>
    <w:p>
      <w:pPr>
        <w:pStyle w:val="Compact"/>
        <w:numPr>
          <w:ilvl w:val="0"/>
          <w:numId w:val="1010"/>
        </w:numPr>
      </w:pPr>
      <w:r>
        <w:t xml:space="preserve">Possible royalty exposure; and</w:t>
      </w:r>
    </w:p>
    <w:p>
      <w:pPr>
        <w:pStyle w:val="Compact"/>
        <w:numPr>
          <w:ilvl w:val="0"/>
          <w:numId w:val="1010"/>
        </w:numPr>
      </w:pPr>
      <w:r>
        <w:t xml:space="preserve">Whether Moderna has recorded or expects to record a litigation reserve.</w:t>
      </w:r>
    </w:p>
    <w:p>
      <w:pPr>
        <w:pStyle w:val="FirstParagraph"/>
      </w:pPr>
      <w:r>
        <w:t xml:space="preserve">Given the early stage of the suit, management may offer little beyond standard legal language.</w:t>
      </w:r>
    </w:p>
    <w:bookmarkEnd w:id="26"/>
    <w:bookmarkStart w:id="30" w:name="what-would-constitute-a-good-report"/>
    <w:p>
      <w:pPr>
        <w:pStyle w:val="Heading2"/>
      </w:pPr>
      <w:r>
        <w:t xml:space="preserve">What would constitute a good report?</w:t>
      </w:r>
    </w:p>
    <w:bookmarkStart w:id="27" w:name="bullish-outcome"/>
    <w:p>
      <w:pPr>
        <w:pStyle w:val="Heading3"/>
      </w:pPr>
      <w:r>
        <w:t xml:space="preserve">Bullish outcome</w:t>
      </w:r>
    </w:p>
    <w:p>
      <w:pPr>
        <w:pStyle w:val="Compact"/>
        <w:numPr>
          <w:ilvl w:val="0"/>
          <w:numId w:val="1011"/>
        </w:numPr>
      </w:pPr>
      <w:r>
        <w:t xml:space="preserve">Revenue above approximately $100 million with no pull-forward from the second half;</w:t>
      </w:r>
    </w:p>
    <w:p>
      <w:pPr>
        <w:pStyle w:val="Compact"/>
        <w:numPr>
          <w:ilvl w:val="0"/>
          <w:numId w:val="1011"/>
        </w:numPr>
      </w:pPr>
      <w:r>
        <w:t xml:space="preserve">Full-year revenue growth guidance reiterated or tightened upward;</w:t>
      </w:r>
    </w:p>
    <w:p>
      <w:pPr>
        <w:pStyle w:val="Compact"/>
        <w:numPr>
          <w:ilvl w:val="0"/>
          <w:numId w:val="1011"/>
        </w:numPr>
      </w:pPr>
      <w:r>
        <w:t xml:space="preserve">Year-end cash guidance of</w:t>
      </w:r>
      <w:r>
        <w:t xml:space="preserve"> </w:t>
      </w:r>
      <m:oMath>
        <m:r>
          <m:t>4.5</m:t>
        </m:r>
        <m:r>
          <m:rPr>
            <m:sty m:val="p"/>
          </m:rPr>
          <m:t>–</m:t>
        </m:r>
      </m:oMath>
      <w:r>
        <w:t xml:space="preserve">5.0 billion maintained or improved;</w:t>
      </w:r>
    </w:p>
    <w:p>
      <w:pPr>
        <w:pStyle w:val="Compact"/>
        <w:numPr>
          <w:ilvl w:val="0"/>
          <w:numId w:val="1011"/>
        </w:numPr>
      </w:pPr>
      <w:r>
        <w:t xml:space="preserve">No adverse signal ahead of the August 5 flu PDUFA;</w:t>
      </w:r>
    </w:p>
    <w:p>
      <w:pPr>
        <w:pStyle w:val="Compact"/>
        <w:numPr>
          <w:ilvl w:val="0"/>
          <w:numId w:val="1011"/>
        </w:numPr>
      </w:pPr>
      <w:r>
        <w:t xml:space="preserve">Phase 3 intismeran melanoma, norovirus and PA timelines all remain in 2026;</w:t>
      </w:r>
    </w:p>
    <w:p>
      <w:pPr>
        <w:pStyle w:val="Compact"/>
        <w:numPr>
          <w:ilvl w:val="0"/>
          <w:numId w:val="1011"/>
        </w:numPr>
      </w:pPr>
      <w:r>
        <w:t xml:space="preserve">Evidence that expense reductions are structural rather than timing-related.</w:t>
      </w:r>
    </w:p>
    <w:bookmarkEnd w:id="27"/>
    <w:bookmarkStart w:id="28" w:name="neutral-or-mixed-outcome"/>
    <w:p>
      <w:pPr>
        <w:pStyle w:val="Heading3"/>
      </w:pPr>
      <w:r>
        <w:t xml:space="preserve">Neutral or mixed outcome</w:t>
      </w:r>
    </w:p>
    <w:p>
      <w:pPr>
        <w:pStyle w:val="Compact"/>
        <w:numPr>
          <w:ilvl w:val="0"/>
          <w:numId w:val="1012"/>
        </w:numPr>
      </w:pPr>
      <w:r>
        <w:t xml:space="preserve">Revenue beats because of government-contract timing;</w:t>
      </w:r>
    </w:p>
    <w:p>
      <w:pPr>
        <w:pStyle w:val="Compact"/>
        <w:numPr>
          <w:ilvl w:val="0"/>
          <w:numId w:val="1012"/>
        </w:numPr>
      </w:pPr>
      <w:r>
        <w:t xml:space="preserve">EPS beats because R&amp;D spending shifts into the second half;</w:t>
      </w:r>
    </w:p>
    <w:p>
      <w:pPr>
        <w:pStyle w:val="Compact"/>
        <w:numPr>
          <w:ilvl w:val="0"/>
          <w:numId w:val="1012"/>
        </w:numPr>
      </w:pPr>
      <w:r>
        <w:t xml:space="preserve">Full-year guidance is unchanged;</w:t>
      </w:r>
    </w:p>
    <w:p>
      <w:pPr>
        <w:pStyle w:val="Compact"/>
        <w:numPr>
          <w:ilvl w:val="0"/>
          <w:numId w:val="1012"/>
        </w:numPr>
      </w:pPr>
      <w:r>
        <w:t xml:space="preserve">Management provides no additional regulatory or pipeline timing clarity.</w:t>
      </w:r>
    </w:p>
    <w:p>
      <w:pPr>
        <w:pStyle w:val="FirstParagraph"/>
      </w:pPr>
      <w:r>
        <w:t xml:space="preserve">That outcome would demonstrate execution but would not materially change the investment thesis.</w:t>
      </w:r>
    </w:p>
    <w:bookmarkEnd w:id="28"/>
    <w:bookmarkStart w:id="29" w:name="bearish-outcome"/>
    <w:p>
      <w:pPr>
        <w:pStyle w:val="Heading3"/>
      </w:pPr>
      <w:r>
        <w:t xml:space="preserve">Bearish outcome</w:t>
      </w:r>
    </w:p>
    <w:p>
      <w:pPr>
        <w:pStyle w:val="Compact"/>
        <w:numPr>
          <w:ilvl w:val="0"/>
          <w:numId w:val="1013"/>
        </w:numPr>
      </w:pPr>
      <w:r>
        <w:t xml:space="preserve">Revenue below the $50 million lower end of guidance;</w:t>
      </w:r>
    </w:p>
    <w:p>
      <w:pPr>
        <w:pStyle w:val="Compact"/>
        <w:numPr>
          <w:ilvl w:val="0"/>
          <w:numId w:val="1013"/>
        </w:numPr>
      </w:pPr>
      <w:r>
        <w:t xml:space="preserve">Full-year growth expectations reduced because of weakening respiratory demand;</w:t>
      </w:r>
    </w:p>
    <w:p>
      <w:pPr>
        <w:pStyle w:val="Compact"/>
        <w:numPr>
          <w:ilvl w:val="0"/>
          <w:numId w:val="1013"/>
        </w:numPr>
      </w:pPr>
      <w:r>
        <w:t xml:space="preserve">Year-end cash guidance cut below $4.5 billion;</w:t>
      </w:r>
    </w:p>
    <w:p>
      <w:pPr>
        <w:pStyle w:val="Compact"/>
        <w:numPr>
          <w:ilvl w:val="0"/>
          <w:numId w:val="1013"/>
        </w:numPr>
      </w:pPr>
      <w:r>
        <w:t xml:space="preserve">Uncertainty or delay around the flu PDUFA;</w:t>
      </w:r>
    </w:p>
    <w:p>
      <w:pPr>
        <w:pStyle w:val="Compact"/>
        <w:numPr>
          <w:ilvl w:val="0"/>
          <w:numId w:val="1013"/>
        </w:numPr>
      </w:pPr>
      <w:r>
        <w:t xml:space="preserve">One or more major 2026 pipeline readouts pushed into 2027;</w:t>
      </w:r>
    </w:p>
    <w:p>
      <w:pPr>
        <w:pStyle w:val="Compact"/>
        <w:numPr>
          <w:ilvl w:val="0"/>
          <w:numId w:val="1013"/>
        </w:numPr>
      </w:pPr>
      <w:r>
        <w:t xml:space="preserve">New litigation reserves or additional unexpected manufacturing charges.</w:t>
      </w:r>
    </w:p>
    <w:bookmarkEnd w:id="29"/>
    <w:bookmarkEnd w:id="30"/>
    <w:bookmarkStart w:id="31" w:name="bottom-line"/>
    <w:p>
      <w:pPr>
        <w:pStyle w:val="Heading2"/>
      </w:pPr>
      <w:r>
        <w:t xml:space="preserve">Bottom line</w:t>
      </w:r>
    </w:p>
    <w:p>
      <w:pPr>
        <w:pStyle w:val="FirstParagraph"/>
      </w:pPr>
      <w:r>
        <w:rPr>
          <w:b/>
          <w:bCs/>
        </w:rPr>
        <w:t xml:space="preserve">This is more of a guidance-and-catalyst call than a quarterly earnings call.</w:t>
      </w:r>
      <w:r>
        <w:t xml:space="preserve"> </w:t>
      </w:r>
      <w:r>
        <w:t xml:space="preserve">The Street already expects a small seasonal quarter and another sizable loss. The meaningful upside case requires management to demonstrate that:</w:t>
      </w:r>
    </w:p>
    <w:p>
      <w:pPr>
        <w:pStyle w:val="Compact"/>
        <w:numPr>
          <w:ilvl w:val="0"/>
          <w:numId w:val="1014"/>
        </w:numPr>
      </w:pPr>
      <w:r>
        <w:t xml:space="preserve">The fall respiratory season can deliver approximately $1.7 billion of second-half revenue;</w:t>
      </w:r>
    </w:p>
    <w:p>
      <w:pPr>
        <w:pStyle w:val="Compact"/>
        <w:numPr>
          <w:ilvl w:val="0"/>
          <w:numId w:val="1014"/>
        </w:numPr>
      </w:pPr>
      <w:r>
        <w:t xml:space="preserve">Cost reductions and cash preservation remain on schedule;</w:t>
      </w:r>
    </w:p>
    <w:p>
      <w:pPr>
        <w:pStyle w:val="Compact"/>
        <w:numPr>
          <w:ilvl w:val="0"/>
          <w:numId w:val="1014"/>
        </w:numPr>
      </w:pPr>
      <w:r>
        <w:t xml:space="preserve">mRNA-1010 is approaching an on-time FDA decision; and</w:t>
      </w:r>
    </w:p>
    <w:p>
      <w:pPr>
        <w:pStyle w:val="Compact"/>
        <w:numPr>
          <w:ilvl w:val="0"/>
          <w:numId w:val="1014"/>
        </w:numPr>
      </w:pPr>
      <w:r>
        <w:t xml:space="preserve">Moderna is still positioned for multiple pivotal pipeline readouts before year-end.</w:t>
      </w:r>
    </w:p>
    <w:p>
      <w:pPr>
        <w:pStyle w:val="FirstParagraph"/>
      </w:pPr>
      <w:r>
        <w:t xml:space="preserve">The single most important near-term item is likely the</w:t>
      </w:r>
      <w:r>
        <w:t xml:space="preserve"> </w:t>
      </w:r>
      <w:r>
        <w:rPr>
          <w:b/>
          <w:bCs/>
        </w:rPr>
        <w:t xml:space="preserve">August 5 flu decision</w:t>
      </w:r>
      <w:r>
        <w:t xml:space="preserve">, while the biggest fundamental value driver remains the</w:t>
      </w:r>
      <w:r>
        <w:t xml:space="preserve"> </w:t>
      </w:r>
      <w:r>
        <w:rPr>
          <w:b/>
          <w:bCs/>
        </w:rPr>
        <w:t xml:space="preserve">Phase 3 intismeran melanoma result</w:t>
      </w:r>
      <w:r>
        <w:t xml:space="preserve">. A clean Q2 report can support confidence in both, but it will not substitute for success on those catalysts.</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modernatx.com/?utm_source=openai" TargetMode="External" /><Relationship Type="http://schemas.openxmlformats.org/officeDocument/2006/relationships/hyperlink" Id="rId11" Target="https://www.marketbeat.com/earnings/reports/2026-7-31-moderna-inc-stock/?utm_source=openai" TargetMode="External" /><Relationship Type="http://schemas.openxmlformats.org/officeDocument/2006/relationships/hyperlink" Id="rId18" Target="https://www.merck.com/news/moderna-and-merck-present-5-year-data-for-intismeran-autogene-in-combination-with-keytruda-pembrolizumab-in-patients-with-high-risk-stage-iii-iv-melanoma-following-complete-resection-at-the-20/?utm_source=openai" TargetMode="External" /><Relationship Type="http://schemas.openxmlformats.org/officeDocument/2006/relationships/hyperlink" Id="rId22" Target="https://www.modernatx.com/science-day?utm_source=openai" TargetMode="External" /><Relationship Type="http://schemas.openxmlformats.org/officeDocument/2006/relationships/hyperlink" Id="rId25" Target="https://www.sahmcapital.com/news/content/sanofi-sues-pfizer-moderna-over-covid-shot-technology-2026-07-15?utm_source=openai" TargetMode="External" /><Relationship Type="http://schemas.openxmlformats.org/officeDocument/2006/relationships/hyperlink" Id="rId12" Target="https://www.sec.gov/Archives/edgar/data/1682852/000168285226000057/exhibit9912026q1pressrelea.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modernatx.com/?utm_source=openai" TargetMode="External" /><Relationship Type="http://schemas.openxmlformats.org/officeDocument/2006/relationships/hyperlink" Id="rId11" Target="https://www.marketbeat.com/earnings/reports/2026-7-31-moderna-inc-stock/?utm_source=openai" TargetMode="External" /><Relationship Type="http://schemas.openxmlformats.org/officeDocument/2006/relationships/hyperlink" Id="rId18" Target="https://www.merck.com/news/moderna-and-merck-present-5-year-data-for-intismeran-autogene-in-combination-with-keytruda-pembrolizumab-in-patients-with-high-risk-stage-iii-iv-melanoma-following-complete-resection-at-the-20/?utm_source=openai" TargetMode="External" /><Relationship Type="http://schemas.openxmlformats.org/officeDocument/2006/relationships/hyperlink" Id="rId22" Target="https://www.modernatx.com/science-day?utm_source=openai" TargetMode="External" /><Relationship Type="http://schemas.openxmlformats.org/officeDocument/2006/relationships/hyperlink" Id="rId25" Target="https://www.sahmcapital.com/news/content/sanofi-sues-pfizer-moderna-over-covid-shot-technology-2026-07-15?utm_source=openai" TargetMode="External" /><Relationship Type="http://schemas.openxmlformats.org/officeDocument/2006/relationships/hyperlink" Id="rId12" Target="https://www.sec.gov/Archives/edgar/data/1682852/000168285226000057/exhibit9912026q1pressrelea.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2026-07-31T00:07:32Z</dcterms:created>
  <dcterms:modified xsi:type="dcterms:W3CDTF">2026-07-31T00:07:32Z</dcterms:modified>
</cp:coreProperties>
</file>

<file path=docProps/custom.xml><?xml version="1.0" encoding="utf-8"?>
<Properties xmlns="http://schemas.openxmlformats.org/officeDocument/2006/custom-properties" xmlns:vt="http://schemas.openxmlformats.org/officeDocument/2006/docPropsVTypes"/>
</file>