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MSFT thoroughly before writing the preview. Let me start by gathering recent earnings materials, guidance, and news.This is a rich setup. Let me read the most recent quarter (2026Q3) results and guidance, and pull stock price data.Let me pull the year-ago Q4 (2025Q4) release for comparables and check the latest analyst sentiment via daily news topic/recent price action.I have strong fundamental data. Let me do a quick check for consensus estimates and the latest setup.I now have everything I need. Let me compute a few price/valuation stats to anchor the preview.I have comprehensive data. Here's the earnings preview.</w:t>
      </w:r>
    </w:p>
    <w:p>
      <w:r>
        <w:pict>
          <v:rect style="width:0;height:1.5pt" o:hralign="center" o:hrstd="t" o:hr="t"/>
        </w:pict>
      </w:r>
    </w:p>
    <w:bookmarkStart w:id="21" w:name="microsoft-msft--earnings-preview"/>
    <w:p>
      <w:pPr>
        <w:pStyle w:val="Heading1"/>
      </w:pPr>
      <w:r>
        <w:t xml:space="preserve">Microsoft (MSFT) — Earnings Preview</w:t>
      </w:r>
    </w:p>
    <w:bookmarkStart w:id="9" w:name="X092add9dc880f6d55d6d613a60598acd2cb4402"/>
    <w:p>
      <w:pPr>
        <w:pStyle w:val="Heading3"/>
      </w:pPr>
      <w:r>
        <w:t xml:space="preserve">FQ4 2026 (quarter ended June 30, 2026) · Reports after the close, July 29, 2026</w:t>
      </w:r>
    </w:p>
    <w:bookmarkEnd w:id="9"/>
    <w:bookmarkStart w:id="10" w:name="the-setup-in-one-line"/>
    <w:p>
      <w:pPr>
        <w:pStyle w:val="Heading2"/>
      </w:pPr>
      <w:r>
        <w:t xml:space="preserve">The setup in one line</w:t>
      </w:r>
    </w:p>
    <w:p>
      <w:pPr>
        <w:pStyle w:val="FirstParagraph"/>
      </w:pPr>
      <w:r>
        <w:t xml:space="preserve">This is a "prove-the-payoff" quarter. Microsoft heads into its fiscal Q4 print with a beaten-down stock, a record capex bill, and an investor base that has shifted from cheering AI ambition to demanding return on it. The bar is arguably lower than it's been in years — but so is patience.</w:t>
      </w:r>
    </w:p>
    <w:p>
      <w:r>
        <w:pict>
          <v:rect style="width:0;height:1.5pt" o:hralign="center" o:hrstd="t" o:hr="t"/>
        </w:pict>
      </w:r>
    </w:p>
    <w:bookmarkEnd w:id="10"/>
    <w:bookmarkStart w:id="11" w:name="X82947f9e82fd0c23ac5bf4fe808bb4cba29b007"/>
    <w:p>
      <w:pPr>
        <w:pStyle w:val="Heading2"/>
      </w:pPr>
      <w:r>
        <w:t xml:space="preserve">1. Why this print matters more than usual</w:t>
      </w:r>
    </w:p>
    <w:p>
      <w:pPr>
        <w:pStyle w:val="FirstParagraph"/>
      </w:pPr>
      <w:r>
        <w:t xml:space="preserve">The stock tells the story. MSFT closed at</w:t>
      </w:r>
      <w:r>
        <w:t xml:space="preserve"> </w:t>
      </w:r>
      <w:r>
        <w:rPr>
          <w:b/>
          <w:bCs/>
        </w:rPr>
        <w:t xml:space="preserve">~</w:t>
      </w:r>
      <m:oMath>
        <m:r>
          <m:t>393</m:t>
        </m:r>
        <m:r>
          <m:rPr>
            <m:sty m:val="p"/>
          </m:rPr>
          <m:t>*</m:t>
        </m:r>
        <m:r>
          <m:rPr>
            <m:sty m:val="p"/>
          </m:rPr>
          <m:t>*</m:t>
        </m:r>
        <m:r>
          <m:t>o</m:t>
        </m:r>
        <m:r>
          <m:t>n</m:t>
        </m:r>
        <m:r>
          <m:t>J</m:t>
        </m:r>
        <m:r>
          <m:t>u</m:t>
        </m:r>
        <m:r>
          <m:t>l</m:t>
        </m:r>
        <m:r>
          <m:t>y</m:t>
        </m:r>
        <m:r>
          <m:t>28</m:t>
        </m:r>
        <m:r>
          <m:rPr>
            <m:sty m:val="p"/>
          </m:rPr>
          <m:t>,</m:t>
        </m:r>
        <m:r>
          <m:t>l</m:t>
        </m:r>
        <m:r>
          <m:t>e</m:t>
        </m:r>
        <m:r>
          <m:t>a</m:t>
        </m:r>
        <m:r>
          <m:t>v</m:t>
        </m:r>
        <m:r>
          <m:t>i</m:t>
        </m:r>
        <m:r>
          <m:t>n</m:t>
        </m:r>
        <m:r>
          <m:t>g</m:t>
        </m:r>
        <m:r>
          <m:t>i</m:t>
        </m:r>
        <m:r>
          <m:t>t</m:t>
        </m:r>
        <m:r>
          <m:rPr>
            <m:sty m:val="p"/>
          </m:rPr>
          <m:t>*</m:t>
        </m:r>
        <m:r>
          <m:rPr>
            <m:sty m:val="p"/>
          </m:rPr>
          <m:t>*</m:t>
        </m:r>
        <m:r>
          <m:t>d</m:t>
        </m:r>
        <m:r>
          <m:t>o</m:t>
        </m:r>
        <m:r>
          <m:t>w</m:t>
        </m:r>
        <m:r>
          <m:t>n</m:t>
        </m:r>
        <m:r>
          <m:t> </m:t>
        </m:r>
        <m:r>
          <m:t>17</m:t>
        </m:r>
      </m:oMath>
      <w:r>
        <w:rPr>
          <w:b/>
          <w:bCs/>
        </w:rPr>
        <w:t xml:space="preserve">542</w:t>
      </w:r>
      <w:r>
        <w:t xml:space="preserve"> </w:t>
      </w:r>
      <w:r>
        <w:t xml:space="preserve">— even after bouncing ~12% off its late-June low near $353. That's a rare stretch of underperformance for a mega-cap; Microsoft has fallen 20% in 2026 and is down 24% over the past 12 months by some measures, while the Nasdaq has risen.</w:t>
      </w:r>
    </w:p>
    <w:p>
      <w:pPr>
        <w:pStyle w:val="BodyText"/>
      </w:pPr>
      <w:r>
        <w:t xml:space="preserve">The immediate catalyst raising the stakes: Microsoft shares tumbled after Alphabet hiked its 2026 capital expenditure forecast, even as the search company reported accelerating cloud growth. Microsoft and Meta are set to report earnings after the close on Wednesday. The read-through is direct — Cowen analyst Derrick Wood told CNBC that if Microsoft raises capex again, based on the reaction to Google's announcement, it will probably lead to selling pressure in the stock.</w:t>
      </w:r>
    </w:p>
    <w:p>
      <w:pPr>
        <w:pStyle w:val="BodyText"/>
      </w:pPr>
      <w:r>
        <w:t xml:space="preserve">Two ways to read the low expectations:</w:t>
      </w:r>
    </w:p>
    <w:p>
      <w:pPr>
        <w:pStyle w:val="Compact"/>
        <w:numPr>
          <w:ilvl w:val="0"/>
          <w:numId w:val="1001"/>
        </w:numPr>
      </w:pPr>
      <w:r>
        <w:rPr>
          <w:b/>
          <w:bCs/>
        </w:rPr>
        <w:t xml:space="preserve">Bull case (contrarian):</w:t>
      </w:r>
      <w:r>
        <w:t xml:space="preserve"> </w:t>
      </w:r>
      <w:r>
        <w:t xml:space="preserve">Microsoft is expected to report earnings this week, with analyst expectations described as "really low" following a weak past quarter. A cheap multiple plus a low bar can be a favorable risk/reward. Microsoft has a contracted backlog exceeding $620 billion, trades at a price/earnings ratio under 25, and maintains healthy profit margins.</w:t>
      </w:r>
    </w:p>
    <w:p>
      <w:pPr>
        <w:pStyle w:val="Compact"/>
        <w:numPr>
          <w:ilvl w:val="0"/>
          <w:numId w:val="1001"/>
        </w:numPr>
      </w:pPr>
      <w:r>
        <w:rPr>
          <w:b/>
          <w:bCs/>
        </w:rPr>
        <w:t xml:space="preserve">Bear case:</w:t>
      </w:r>
      <w:r>
        <w:t xml:space="preserve"> </w:t>
      </w:r>
      <w:r>
        <w:t xml:space="preserve">Microsoft is among the hyperscalers facing investor questions about return on investment from significant spending... with uncertainty that these companies may have collectively over-invested.</w:t>
      </w:r>
    </w:p>
    <w:p>
      <w:r>
        <w:pict>
          <v:rect style="width:0;height:1.5pt" o:hralign="center" o:hrstd="t" o:hr="t"/>
        </w:pict>
      </w:r>
    </w:p>
    <w:bookmarkEnd w:id="11"/>
    <w:bookmarkStart w:id="12" w:name="X215e90817a41c2ccad1f30d6bfbddcc2738fbd3"/>
    <w:p>
      <w:pPr>
        <w:pStyle w:val="Heading2"/>
      </w:pPr>
      <w:r>
        <w:t xml:space="preserve">2. What consensus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Consensus (Street)</w:t>
            </w:r>
          </w:p>
        </w:tc>
        <w:tc>
          <w:tcPr/>
          <w:p>
            <w:pPr>
              <w:pStyle w:val="Compact"/>
            </w:pPr>
            <w:r>
              <w:t xml:space="preserve">MSFT's own guidance (given in April)</w:t>
            </w:r>
          </w:p>
        </w:tc>
      </w:tr>
      <w:tr>
        <w:tc>
          <w:tcPr/>
          <w:p>
            <w:pPr>
              <w:pStyle w:val="Compact"/>
            </w:pPr>
            <w:r>
              <w:t xml:space="preserve">Total revenue</w:t>
            </w:r>
          </w:p>
        </w:tc>
        <w:tc>
          <w:tcPr/>
          <w:p>
            <w:pPr>
              <w:pStyle w:val="Compact"/>
            </w:pPr>
            <w:r>
              <w:t xml:space="preserve">~$87.7B</w:t>
            </w:r>
          </w:p>
        </w:tc>
        <w:tc>
          <w:tcPr/>
          <w:p>
            <w:pPr>
              <w:pStyle w:val="Compact"/>
            </w:pPr>
            <m:oMath>
              <m:r>
                <m:t>86.7</m:t>
              </m:r>
              <m:r>
                <m:t>B</m:t>
              </m:r>
              <m:r>
                <m:rPr>
                  <m:sty m:val="p"/>
                </m:rPr>
                <m:t>–</m:t>
              </m:r>
            </m:oMath>
            <w:r>
              <w:rPr>
                <w:b/>
                <w:bCs/>
              </w:rPr>
              <w:t xml:space="preserve">87.8B</w:t>
            </w:r>
            <w:r>
              <w:t xml:space="preserve"> </w:t>
            </w:r>
            <w:r>
              <w:t xml:space="preserve">(+13–15%)</w:t>
            </w:r>
          </w:p>
        </w:tc>
      </w:tr>
      <w:tr>
        <w:tc>
          <w:tcPr/>
          <w:p>
            <w:pPr>
              <w:pStyle w:val="Compact"/>
            </w:pPr>
            <w:r>
              <w:t xml:space="preserve">Adjusted EPS</w:t>
            </w:r>
          </w:p>
        </w:tc>
        <w:tc>
          <w:tcPr/>
          <w:p>
            <w:pPr>
              <w:pStyle w:val="Compact"/>
            </w:pPr>
            <w:r>
              <w:t xml:space="preserve">~</w:t>
            </w:r>
            <m:oMath>
              <m:r>
                <m:t>4.24</m:t>
              </m:r>
              <m:r>
                <m:rPr>
                  <m:sty m:val="p"/>
                </m:rPr>
                <m:t>–</m:t>
              </m:r>
            </m:oMath>
            <w:r>
              <w:t xml:space="preserve">4.33</w:t>
            </w:r>
          </w:p>
        </w:tc>
        <w:tc>
          <w:tcPr/>
          <w:p>
            <w:pPr>
              <w:pStyle w:val="Compact"/>
            </w:pPr>
            <w:r>
              <w:t xml:space="preserve">—</w:t>
            </w:r>
          </w:p>
        </w:tc>
      </w:tr>
      <w:tr>
        <w:tc>
          <w:tcPr/>
          <w:p>
            <w:pPr>
              <w:pStyle w:val="Compact"/>
            </w:pPr>
            <w:r>
              <w:t xml:space="preserve">Azure growth (cc)</w:t>
            </w:r>
          </w:p>
        </w:tc>
        <w:tc>
          <w:tcPr/>
          <w:p>
            <w:pPr>
              <w:pStyle w:val="Compact"/>
            </w:pPr>
            <w:r>
              <w:t xml:space="preserve">~40%</w:t>
            </w:r>
          </w:p>
        </w:tc>
        <w:tc>
          <w:tcPr/>
          <w:p>
            <w:pPr>
              <w:pStyle w:val="Compact"/>
            </w:pPr>
            <w:r>
              <w:rPr>
                <w:b/>
                <w:bCs/>
              </w:rPr>
              <w:t xml:space="preserve">39–40%</w:t>
            </w:r>
          </w:p>
        </w:tc>
      </w:tr>
      <w:tr>
        <w:tc>
          <w:tcPr/>
          <w:p>
            <w:pPr>
              <w:pStyle w:val="Compact"/>
            </w:pPr>
            <w:r>
              <w:t xml:space="preserve">Capex (incl. leases)</w:t>
            </w:r>
          </w:p>
        </w:tc>
        <w:tc>
          <w:tcPr/>
          <w:p>
            <w:pPr>
              <w:pStyle w:val="Compact"/>
            </w:pPr>
            <w:r>
              <w:t xml:space="preserve">—</w:t>
            </w:r>
          </w:p>
        </w:tc>
        <w:tc>
          <w:tcPr/>
          <w:p>
            <w:pPr>
              <w:pStyle w:val="Compact"/>
            </w:pPr>
            <w:r>
              <w:rPr>
                <w:b/>
                <w:bCs/>
              </w:rPr>
              <w:t xml:space="preserve">&gt;$40B</w:t>
            </w:r>
            <w:r>
              <w:t xml:space="preserve"> </w:t>
            </w:r>
            <w:r>
              <w:t xml:space="preserve">for the quarter</w:t>
            </w:r>
          </w:p>
        </w:tc>
      </w:tr>
    </w:tbl>
    <w:p>
      <w:pPr>
        <w:pStyle w:val="BodyText"/>
      </w:pPr>
      <w:r>
        <w:t xml:space="preserve">Consensus revenue of ~</w:t>
      </w:r>
      <m:oMath>
        <m:r>
          <m:t>87.7</m:t>
        </m:r>
        <m:r>
          <m:t>B</m:t>
        </m:r>
        <m:r>
          <m:t>s</m:t>
        </m:r>
        <m:r>
          <m:t>i</m:t>
        </m:r>
        <m:r>
          <m:t>t</m:t>
        </m:r>
        <m:r>
          <m:t>s</m:t>
        </m:r>
        <m:r>
          <m:t>r</m:t>
        </m:r>
        <m:r>
          <m:t>i</m:t>
        </m:r>
        <m:r>
          <m:t>g</m:t>
        </m:r>
        <m:r>
          <m:t>h</m:t>
        </m:r>
        <m:r>
          <m:t>t</m:t>
        </m:r>
        <m:r>
          <m:t>a</m:t>
        </m:r>
        <m:r>
          <m:t>t</m:t>
        </m:r>
        <m:r>
          <m:t>t</m:t>
        </m:r>
        <m:r>
          <m:t>h</m:t>
        </m:r>
        <m:r>
          <m:t>e</m:t>
        </m:r>
        <m:r>
          <m:t>t</m:t>
        </m:r>
        <m:r>
          <m:t>o</m:t>
        </m:r>
        <m:r>
          <m:t>p</m:t>
        </m:r>
        <m:r>
          <m:t>o</m:t>
        </m:r>
        <m:r>
          <m:t>f</m:t>
        </m:r>
        <m:r>
          <m:t>m</m:t>
        </m:r>
        <m:r>
          <m:t>a</m:t>
        </m:r>
        <m:r>
          <m:t>n</m:t>
        </m:r>
        <m:r>
          <m:t>a</m:t>
        </m:r>
        <m:r>
          <m:t>g</m:t>
        </m:r>
        <m:r>
          <m:t>e</m:t>
        </m:r>
        <m:r>
          <m:t>m</m:t>
        </m:r>
        <m:r>
          <m:t>e</m:t>
        </m:r>
        <m:r>
          <m:t>n</m:t>
        </m:r>
        <m:sSup>
          <m:e>
            <m:r>
              <m:t>t</m:t>
            </m:r>
          </m:e>
          <m:sup>
            <m:r>
              <m:rPr>
                <m:sty m:val="p"/>
              </m:rPr>
              <m:t>′</m:t>
            </m:r>
          </m:sup>
        </m:sSup>
        <m:r>
          <m:t>s</m:t>
        </m:r>
        <m:r>
          <m:t>g</m:t>
        </m:r>
        <m:r>
          <m:t>u</m:t>
        </m:r>
        <m:r>
          <m:t>i</m:t>
        </m:r>
        <m:r>
          <m:t>d</m:t>
        </m:r>
        <m:r>
          <m:t>e</m:t>
        </m:r>
        <m:r>
          <m:t>d</m:t>
        </m:r>
        <m:r>
          <m:t>r</m:t>
        </m:r>
        <m:r>
          <m:t>a</m:t>
        </m:r>
        <m:r>
          <m:t>n</m:t>
        </m:r>
        <m:r>
          <m:t>g</m:t>
        </m:r>
        <m:r>
          <m:t>e</m:t>
        </m:r>
        <m:r>
          <m:rPr>
            <m:sty m:val="p"/>
          </m:rPr>
          <m:t>.</m:t>
        </m:r>
        <m:r>
          <m:t>N</m:t>
        </m:r>
        <m:r>
          <m:t>o</m:t>
        </m:r>
        <m:r>
          <m:t>t</m:t>
        </m:r>
        <m:r>
          <m:t>e</m:t>
        </m:r>
        <m:r>
          <m:t>t</m:t>
        </m:r>
        <m:r>
          <m:t>h</m:t>
        </m:r>
        <m:r>
          <m:t>a</m:t>
        </m:r>
        <m:r>
          <m:t>t</m:t>
        </m:r>
        <m:r>
          <m:t>y</m:t>
        </m:r>
        <m:r>
          <m:t>e</m:t>
        </m:r>
        <m:r>
          <m:t>a</m:t>
        </m:r>
        <m:r>
          <m:t>r</m:t>
        </m:r>
        <m:r>
          <m:rPr>
            <m:sty m:val="p"/>
          </m:rPr>
          <m:t>−</m:t>
        </m:r>
        <m:r>
          <m:t>a</m:t>
        </m:r>
        <m:r>
          <m:t>g</m:t>
        </m:r>
        <m:r>
          <m:t>o</m:t>
        </m:r>
        <m:r>
          <m:t>F</m:t>
        </m:r>
        <m:r>
          <m:t>Q</m:t>
        </m:r>
        <m:r>
          <m:t>4</m:t>
        </m:r>
        <m:r>
          <m:t>2025</m:t>
        </m:r>
        <m:r>
          <m:t>p</m:t>
        </m:r>
        <m:r>
          <m:t>o</m:t>
        </m:r>
        <m:r>
          <m:t>s</m:t>
        </m:r>
        <m:r>
          <m:t>t</m:t>
        </m:r>
        <m:r>
          <m:t>e</m:t>
        </m:r>
        <m:r>
          <m:t>d</m:t>
        </m:r>
        <m:r>
          <m:rPr>
            <m:sty m:val="p"/>
          </m:rPr>
          <m:t>*</m:t>
        </m:r>
        <m:r>
          <m:rPr>
            <m:sty m:val="p"/>
          </m:rPr>
          <m:t>*</m:t>
        </m:r>
      </m:oMath>
      <w:r>
        <w:t xml:space="preserve">76.4B revenue and</w:t>
      </w:r>
      <w:r>
        <w:t xml:space="preserve"> </w:t>
      </w:r>
      <m:oMath>
        <m:r>
          <m:t>3.65</m:t>
        </m:r>
        <m:r>
          <m:t>E</m:t>
        </m:r>
        <m:r>
          <m:t>P</m:t>
        </m:r>
        <m:r>
          <m:t>S</m:t>
        </m:r>
        <m:r>
          <m:rPr>
            <m:sty m:val="p"/>
          </m:rPr>
          <m:t>*</m:t>
        </m:r>
        <m:r>
          <m:rPr>
            <m:sty m:val="p"/>
          </m:rPr>
          <m:t>*</m:t>
        </m:r>
        <m:r>
          <m:rPr>
            <m:sty m:val="p"/>
          </m:rPr>
          <m:t>,</m:t>
        </m:r>
        <m:r>
          <m:t>s</m:t>
        </m:r>
        <m:r>
          <m:t>o</m:t>
        </m:r>
        <m:r>
          <m:t>c</m:t>
        </m:r>
        <m:r>
          <m:t>o</m:t>
        </m:r>
        <m:r>
          <m:t>n</m:t>
        </m:r>
        <m:r>
          <m:t>s</m:t>
        </m:r>
        <m:r>
          <m:t>e</m:t>
        </m:r>
        <m:r>
          <m:t>n</m:t>
        </m:r>
        <m:r>
          <m:t>s</m:t>
        </m:r>
        <m:r>
          <m:t>u</m:t>
        </m:r>
        <m:r>
          <m:t>s</m:t>
        </m:r>
        <m:r>
          <m:t>i</m:t>
        </m:r>
        <m:r>
          <m:t>m</m:t>
        </m:r>
        <m:r>
          <m:t>p</m:t>
        </m:r>
        <m:r>
          <m:t>l</m:t>
        </m:r>
        <m:r>
          <m:t>i</m:t>
        </m:r>
        <m:r>
          <m:t>e</m:t>
        </m:r>
        <m:r>
          <m:t>s</m:t>
        </m:r>
        <m:r>
          <m:t>r</m:t>
        </m:r>
        <m:r>
          <m:t>o</m:t>
        </m:r>
        <m:r>
          <m:t>u</m:t>
        </m:r>
        <m:r>
          <m:t>g</m:t>
        </m:r>
        <m:r>
          <m:t>h</m:t>
        </m:r>
        <m:r>
          <m:t>l</m:t>
        </m:r>
        <m:r>
          <m:t>y</m:t>
        </m:r>
        <m:r>
          <m:rPr>
            <m:sty m:val="p"/>
          </m:rPr>
          <m:t>*</m:t>
        </m:r>
        <m:r>
          <m:rPr>
            <m:sty m:val="p"/>
          </m:rPr>
          <m:t>*</m:t>
        </m:r>
        <m:r>
          <m:t> </m:t>
        </m:r>
        <m:r>
          <m:t>15</m:t>
        </m:r>
      </m:oMath>
      <w:r>
        <w:t xml:space="preserve">82.9B (+18%)** and</w:t>
      </w:r>
      <w:r>
        <w:t xml:space="preserve"> </w:t>
      </w:r>
      <w:r>
        <w:rPr>
          <w:b/>
          <w:bCs/>
        </w:rPr>
        <w:t xml:space="preserve">EPS of $4.27</w:t>
      </w:r>
      <w:r>
        <w:t xml:space="preserve"> </w:t>
      </w:r>
      <w:r>
        <w:t xml:space="preserve">both clearing the bar.</w:t>
      </w:r>
    </w:p>
    <w:p>
      <w:pPr>
        <w:pStyle w:val="BodyText"/>
      </w:pPr>
      <w:r>
        <w:rPr>
          <w:b/>
          <w:bCs/>
        </w:rPr>
        <w:t xml:space="preserve">Important date note:</w:t>
      </w:r>
      <w:r>
        <w:t xml:space="preserve"> </w:t>
      </w:r>
      <w:r>
        <w:t xml:space="preserve">Sources disagree on the exact report date (some list July 28/29/30); this preview follows the stated</w:t>
      </w:r>
      <w:r>
        <w:t xml:space="preserve"> </w:t>
      </w:r>
      <w:r>
        <w:rPr>
          <w:b/>
          <w:bCs/>
        </w:rPr>
        <w:t xml:space="preserve">July 29</w:t>
      </w:r>
      <w:r>
        <w:t xml:space="preserve"> </w:t>
      </w:r>
      <w:r>
        <w:t xml:space="preserve">date and the FQ4 (April–June 2026) fiscal quarter.</w:t>
      </w:r>
    </w:p>
    <w:p>
      <w:r>
        <w:pict>
          <v:rect style="width:0;height:1.5pt" o:hralign="center" o:hrstd="t" o:hr="t"/>
        </w:pict>
      </w:r>
    </w:p>
    <w:bookmarkEnd w:id="12"/>
    <w:bookmarkStart w:id="13" w:name="X718dc37f081e185cd1bd152ff01220c621e4a91"/>
    <w:p>
      <w:pPr>
        <w:pStyle w:val="Heading2"/>
      </w:pPr>
      <w:r>
        <w:t xml:space="preserve">3. The number that will move the stock: Azure</w:t>
      </w:r>
    </w:p>
    <w:p>
      <w:pPr>
        <w:pStyle w:val="FirstParagraph"/>
      </w:pPr>
      <w:r>
        <w:t xml:space="preserve">Azure is the single most-watched metric. Management guided FQ4 growth to</w:t>
      </w:r>
      <w:r>
        <w:t xml:space="preserve"> </w:t>
      </w:r>
      <w:r>
        <w:rPr>
          <w:b/>
          <w:bCs/>
        </w:rPr>
        <w:t xml:space="preserve">39–40% in constant currency</w:t>
      </w:r>
      <w:r>
        <w:t xml:space="preserve">, against a strong prior-year comparable, and framed the setup favorably: Results were ahead of expectations as we delivered capacity earlier in the quarter, enabling increased consumption across both AI and non-AI services. Strong customer demand across workloads, customer segments and geographic regions continues to exceed available capacity.</w:t>
      </w:r>
    </w:p>
    <w:p>
      <w:pPr>
        <w:pStyle w:val="BodyText"/>
      </w:pPr>
      <w:r>
        <w:t xml:space="preserve">Two things to watch:</w:t>
      </w:r>
    </w:p>
    <w:p>
      <w:pPr>
        <w:pStyle w:val="Compact"/>
        <w:numPr>
          <w:ilvl w:val="0"/>
          <w:numId w:val="1002"/>
        </w:numPr>
      </w:pPr>
      <w:r>
        <w:rPr>
          <w:b/>
          <w:bCs/>
        </w:rPr>
        <w:t xml:space="preserve">Capacity/supply.</w:t>
      </w:r>
      <w:r>
        <w:t xml:space="preserve"> </w:t>
      </w:r>
      <w:r>
        <w:t xml:space="preserve">Management has repeatedly said demand exceeds supply, and expects to remain</w:t>
      </w:r>
      <w:r>
        <w:t xml:space="preserve"> </w:t>
      </w:r>
      <w:r>
        <w:rPr>
          <w:b/>
          <w:bCs/>
        </w:rPr>
        <w:t xml:space="preserve">capacity-constrained at least through 2026</w:t>
      </w:r>
      <w:r>
        <w:t xml:space="preserve">, with</w:t>
      </w:r>
      <w:r>
        <w:t xml:space="preserve"> </w:t>
      </w:r>
      <w:r>
        <w:rPr>
          <w:b/>
          <w:bCs/>
        </w:rPr>
        <w:t xml:space="preserve">Azure growth showing "modest acceleration" in the second half of the calendar year.</w:t>
      </w:r>
      <w:r>
        <w:t xml:space="preserve"> </w:t>
      </w:r>
      <w:r>
        <w:t xml:space="preserve">An in-line-or-better Azure print plus reaffirmed acceleration = a green light; any deceleration below ~39% would be punished.</w:t>
      </w:r>
    </w:p>
    <w:p>
      <w:pPr>
        <w:pStyle w:val="Compact"/>
        <w:numPr>
          <w:ilvl w:val="0"/>
          <w:numId w:val="1002"/>
        </w:numPr>
      </w:pPr>
      <w:r>
        <w:rPr>
          <w:b/>
          <w:bCs/>
        </w:rPr>
        <w:t xml:space="preserve">Peer benchmark.</w:t>
      </w:r>
      <w:r>
        <w:t xml:space="preserve"> </w:t>
      </w:r>
      <w:r>
        <w:t xml:space="preserve">The comparison to Alphabet is unavoidable. Per Bloomberg Intelligence's Mandep Singh, Microsoft's Azure cloud growth has been around 40% compared to Google's 82% cloud growth, and the company must demonstrate both accelerating cloud growth rates and alternative monetization paths for its capital spending beyond the cloud segment.</w:t>
      </w:r>
    </w:p>
    <w:p>
      <w:r>
        <w:pict>
          <v:rect style="width:0;height:1.5pt" o:hralign="center" o:hrstd="t" o:hr="t"/>
        </w:pict>
      </w:r>
    </w:p>
    <w:bookmarkEnd w:id="13"/>
    <w:bookmarkStart w:id="14" w:name="Xe669fbf334cadfded0fa19799e0e9b500188487"/>
    <w:p>
      <w:pPr>
        <w:pStyle w:val="Heading2"/>
      </w:pPr>
      <w:r>
        <w:t xml:space="preserve">4. The other big one: capex and the ROI question</w:t>
      </w:r>
    </w:p>
    <w:p>
      <w:pPr>
        <w:pStyle w:val="FirstParagraph"/>
      </w:pPr>
      <w:r>
        <w:t xml:space="preserve">Last quarter, capex was</w:t>
      </w:r>
      <w:r>
        <w:t xml:space="preserve"> </w:t>
      </w:r>
      <w:r>
        <w:rPr>
          <w:b/>
          <w:bCs/>
        </w:rPr>
        <w:t xml:space="preserve">$31.9B</w:t>
      </w:r>
      <w:r>
        <w:t xml:space="preserve">, with roughly</w:t>
      </w:r>
      <w:r>
        <w:t xml:space="preserve"> </w:t>
      </w:r>
      <w:r>
        <w:rPr>
          <w:b/>
          <w:bCs/>
        </w:rPr>
        <w:t xml:space="preserve">two-thirds going to short-lived assets (GPUs/CPUs)</w:t>
      </w:r>
      <w:r>
        <w:t xml:space="preserve"> </w:t>
      </w:r>
      <w:r>
        <w:t xml:space="preserve">that correlate with near-term revenue. Management guided FQ4 capex to</w:t>
      </w:r>
      <w:r>
        <w:t xml:space="preserve"> </w:t>
      </w:r>
      <w:r>
        <w:rPr>
          <w:b/>
          <w:bCs/>
        </w:rPr>
        <w:t xml:space="preserve">over $40B</w:t>
      </w:r>
      <w:r>
        <w:t xml:space="preserve"> </w:t>
      </w:r>
      <w:r>
        <w:t xml:space="preserve">and reiterated the full-year figure: For calendar year 2026, we expect to invest roughly $190 billion in capital expenditures, which includes approximately $25 billion from the impact of higher component pricing. Street modeling aligns: Analysts polled by Visible Alpha expect $190.1 billion from Microsoft.</w:t>
      </w:r>
    </w:p>
    <w:p>
      <w:pPr>
        <w:pStyle w:val="BodyText"/>
      </w:pPr>
      <w:r>
        <w:t xml:space="preserve">The debate is no longer</w:t>
      </w:r>
      <w:r>
        <w:t xml:space="preserve"> </w:t>
      </w:r>
      <w:r>
        <w:rPr>
          <w:i/>
          <w:iCs/>
        </w:rPr>
        <w:t xml:space="preserve">whether</w:t>
      </w:r>
      <w:r>
        <w:t xml:space="preserve"> </w:t>
      </w:r>
      <w:r>
        <w:t xml:space="preserve">Microsoft is spending, but whether the spend is compounding into revenue. Framing to watch:</w:t>
      </w:r>
    </w:p>
    <w:p>
      <w:pPr>
        <w:pStyle w:val="Compact"/>
        <w:numPr>
          <w:ilvl w:val="0"/>
          <w:numId w:val="1003"/>
        </w:numPr>
      </w:pPr>
      <w:r>
        <w:rPr>
          <w:b/>
          <w:bCs/>
        </w:rPr>
        <w:t xml:space="preserve">The scale of the bet:</w:t>
      </w:r>
      <w:r>
        <w:t xml:space="preserve"> </w:t>
      </w:r>
      <w:r>
        <w:t xml:space="preserve">Microsoft's capital spending including leases has surged as a share of revenue from about 14% in fiscal 2022 to roughly 50% for 2026, meaning the company has gone from spending one revenue dollar in seven on infrastructure to roughly one in two.</w:t>
      </w:r>
    </w:p>
    <w:p>
      <w:pPr>
        <w:pStyle w:val="Compact"/>
        <w:numPr>
          <w:ilvl w:val="0"/>
          <w:numId w:val="1003"/>
        </w:numPr>
      </w:pPr>
      <w:r>
        <w:rPr>
          <w:b/>
          <w:bCs/>
        </w:rPr>
        <w:t xml:space="preserve">The unresolved question:</w:t>
      </w:r>
      <w:r>
        <w:t xml:space="preserve"> </w:t>
      </w:r>
      <w:r>
        <w:t xml:space="preserve">The bet is that this spending will create a new tier of growth large enough to justify it, but nobody, including Microsoft, can currently prove it.</w:t>
      </w:r>
    </w:p>
    <w:p>
      <w:pPr>
        <w:pStyle w:val="Compact"/>
        <w:numPr>
          <w:ilvl w:val="0"/>
          <w:numId w:val="1003"/>
        </w:numPr>
      </w:pPr>
      <w:r>
        <w:rPr>
          <w:b/>
          <w:bCs/>
        </w:rPr>
        <w:t xml:space="preserve">Watch for a guide-up.</w:t>
      </w:r>
      <w:r>
        <w:t xml:space="preserve"> </w:t>
      </w:r>
      <w:r>
        <w:t xml:space="preserve">Given the Alphabet reaction, a</w:t>
      </w:r>
      <w:r>
        <w:t xml:space="preserve"> </w:t>
      </w:r>
      <w:r>
        <w:rPr>
          <w:i/>
          <w:iCs/>
        </w:rPr>
        <w:t xml:space="preserve">higher</w:t>
      </w:r>
      <w:r>
        <w:t xml:space="preserve"> </w:t>
      </w:r>
      <w:r>
        <w:t xml:space="preserve">CY26 capex number could trigger selling even on an otherwise strong quarter. Conversely, evidence that spending is throttled by returns (not just supply) may reassure. Evercore's Kirk Materne cautioned he doesn't believe the fourth-quarter earnings report will help investors work out how the company is balancing free cash flow with capital expenditures. Note free cash flow was already compressed to</w:t>
      </w:r>
      <w:r>
        <w:t xml:space="preserve"> </w:t>
      </w:r>
      <w:r>
        <w:rPr>
          <w:b/>
          <w:bCs/>
        </w:rPr>
        <w:t xml:space="preserve">$15.8B last quarter</w:t>
      </w:r>
      <w:r>
        <w:t xml:space="preserve"> </w:t>
      </w:r>
      <w:r>
        <w:t xml:space="preserve">as capex climbed.</w:t>
      </w:r>
    </w:p>
    <w:p>
      <w:r>
        <w:pict>
          <v:rect style="width:0;height:1.5pt" o:hralign="center" o:hrstd="t" o:hr="t"/>
        </w:pict>
      </w:r>
    </w:p>
    <w:bookmarkEnd w:id="14"/>
    <w:bookmarkStart w:id="15" w:name="X0d266c2fae5836b0bed5e94e76174cbc82c4225"/>
    <w:p>
      <w:pPr>
        <w:pStyle w:val="Heading2"/>
      </w:pPr>
      <w:r>
        <w:t xml:space="preserve">5. AI momentum — the bull's evidence</w:t>
      </w:r>
    </w:p>
    <w:p>
      <w:pPr>
        <w:pStyle w:val="FirstParagraph"/>
      </w:pPr>
      <w:r>
        <w:t xml:space="preserve">The genuinely strong data points sit in the AI/Copilot story:</w:t>
      </w:r>
    </w:p>
    <w:p>
      <w:pPr>
        <w:pStyle w:val="Compact"/>
        <w:numPr>
          <w:ilvl w:val="0"/>
          <w:numId w:val="1004"/>
        </w:numPr>
      </w:pPr>
      <w:r>
        <w:t xml:space="preserve">Our AI business annual revenue run rate surpassed $37 billion this quarter, growing 123% year-over-year.</w:t>
      </w:r>
    </w:p>
    <w:p>
      <w:pPr>
        <w:pStyle w:val="Compact"/>
        <w:numPr>
          <w:ilvl w:val="0"/>
          <w:numId w:val="1004"/>
        </w:numPr>
      </w:pPr>
      <w:r>
        <w:t xml:space="preserve">It was another record quarter for Microsoft 365 Copilot seat adds, which increased 250% year-over-year... and now have over 20 million Microsoft 365 Copilot paid seats.</w:t>
      </w:r>
    </w:p>
    <w:p>
      <w:pPr>
        <w:pStyle w:val="Compact"/>
        <w:numPr>
          <w:ilvl w:val="0"/>
          <w:numId w:val="1004"/>
        </w:numPr>
      </w:pPr>
      <w:r>
        <w:t xml:space="preserve">The number of customers with over 50,000 seats quadrupled year-over-year and Accenture now has over 740,000 seats, our largest Copilot win to date.</w:t>
      </w:r>
    </w:p>
    <w:p>
      <w:pPr>
        <w:pStyle w:val="Compact"/>
        <w:numPr>
          <w:ilvl w:val="0"/>
          <w:numId w:val="1004"/>
        </w:numPr>
      </w:pPr>
      <w:r>
        <w:t xml:space="preserve">RPO (backlog) hit</w:t>
      </w:r>
      <w:r>
        <w:t xml:space="preserve"> </w:t>
      </w:r>
      <w:r>
        <w:rPr>
          <w:b/>
          <w:bCs/>
        </w:rPr>
        <w:t xml:space="preserve">$627B, up 99% y/y</w:t>
      </w:r>
      <w:r>
        <w:t xml:space="preserve"> </w:t>
      </w:r>
      <w:r>
        <w:t xml:space="preserve">(aided by OpenAI commitments).</w:t>
      </w:r>
    </w:p>
    <w:p>
      <w:pPr>
        <w:pStyle w:val="FirstParagraph"/>
      </w:pPr>
      <w:r>
        <w:t xml:space="preserve">For FQ4, management guided</w:t>
      </w:r>
      <w:r>
        <w:t xml:space="preserve"> </w:t>
      </w:r>
      <w:r>
        <w:rPr>
          <w:b/>
          <w:bCs/>
        </w:rPr>
        <w:t xml:space="preserve">M365 Commercial Cloud to 15–16% cc growth (normalized)</w:t>
      </w:r>
      <w:r>
        <w:t xml:space="preserve"> </w:t>
      </w:r>
      <w:r>
        <w:t xml:space="preserve">with</w:t>
      </w:r>
      <w:r>
        <w:t xml:space="preserve"> </w:t>
      </w:r>
      <w:r>
        <w:rPr>
          <w:b/>
          <w:bCs/>
        </w:rPr>
        <w:t xml:space="preserve">sequentially higher net Copilot seat adds</w:t>
      </w:r>
      <w:r>
        <w:t xml:space="preserve">, plus a</w:t>
      </w:r>
      <w:r>
        <w:t xml:space="preserve"> </w:t>
      </w:r>
      <w:r>
        <w:rPr>
          <w:b/>
          <w:bCs/>
        </w:rPr>
        <w:t xml:space="preserve">business-model shift toward "seats-plus-consumption"</w:t>
      </w:r>
      <w:r>
        <w:t xml:space="preserve"> </w:t>
      </w:r>
      <w:r>
        <w:t xml:space="preserve">— the emerging theme where any per user business of ours, whether it's productivity, coding, security, will become a per user and usage business. Watch whether that consumption layer starts visibly lifting revenue growth (GitHub Copilot moved to usage-based pricing effective June 1).</w:t>
      </w:r>
    </w:p>
    <w:p>
      <w:r>
        <w:pict>
          <v:rect style="width:0;height:1.5pt" o:hralign="center" o:hrstd="t" o:hr="t"/>
        </w:pict>
      </w:r>
    </w:p>
    <w:bookmarkEnd w:id="15"/>
    <w:bookmarkStart w:id="16" w:name="X56a4d5c7299855e0fb89d69f81c65d9cb4939b6"/>
    <w:p>
      <w:pPr>
        <w:pStyle w:val="Heading2"/>
      </w:pPr>
      <w:r>
        <w:t xml:space="preserve">6. The strategic subplot: Microsoft's pivot away from OpenAI/Anthropic dependence</w:t>
      </w:r>
    </w:p>
    <w:p>
      <w:pPr>
        <w:pStyle w:val="FirstParagraph"/>
      </w:pPr>
      <w:r>
        <w:t xml:space="preserve">A meaningful narrative shift this quarter is Microsoft leaning into its</w:t>
      </w:r>
      <w:r>
        <w:t xml:space="preserve"> </w:t>
      </w:r>
      <w:r>
        <w:rPr>
          <w:b/>
          <w:bCs/>
        </w:rPr>
        <w:t xml:space="preserve">own first-party models</w:t>
      </w:r>
      <w:r>
        <w:t xml:space="preserve"> </w:t>
      </w:r>
      <w:r>
        <w:t xml:space="preserve">— both to differentiate and to cut COGS:</w:t>
      </w:r>
    </w:p>
    <w:p>
      <w:pPr>
        <w:pStyle w:val="Compact"/>
        <w:numPr>
          <w:ilvl w:val="0"/>
          <w:numId w:val="1005"/>
        </w:numPr>
      </w:pPr>
      <w:r>
        <w:t xml:space="preserve">Microsoft (MSFT) will replace OpenAI models with its own in certain popular products like PowerPoint and Bing.</w:t>
      </w:r>
    </w:p>
    <w:p>
      <w:pPr>
        <w:pStyle w:val="Compact"/>
        <w:numPr>
          <w:ilvl w:val="0"/>
          <w:numId w:val="1005"/>
        </w:numPr>
      </w:pPr>
      <w:r>
        <w:t xml:space="preserve">Microsoft is training its sales team to negatively compare AI products from competitors like OpenAI and Anthropic to its own offerings... Microsoft has been swapping OpenAI and Anthropic's models out of flagship apps like Word and Excel in favor of its own in a cost-cutting move.</w:t>
      </w:r>
    </w:p>
    <w:p>
      <w:pPr>
        <w:pStyle w:val="Compact"/>
        <w:numPr>
          <w:ilvl w:val="0"/>
          <w:numId w:val="1005"/>
        </w:numPr>
      </w:pPr>
      <w:r>
        <w:t xml:space="preserve">The renegotiated</w:t>
      </w:r>
      <w:r>
        <w:t xml:space="preserve"> </w:t>
      </w:r>
      <w:r>
        <w:rPr>
          <w:b/>
          <w:bCs/>
        </w:rPr>
        <w:t xml:space="preserve">OpenAI agreement</w:t>
      </w:r>
      <w:r>
        <w:t xml:space="preserve"> </w:t>
      </w:r>
      <w:r>
        <w:t xml:space="preserve">gives Microsoft a frontier model, royalty-free with all the IP rights... all the way to '32, plus a revenue share [that] exists through 2030.</w:t>
      </w:r>
    </w:p>
    <w:p>
      <w:pPr>
        <w:pStyle w:val="FirstParagraph"/>
      </w:pPr>
      <w:r>
        <w:t xml:space="preserve">This matters for the margin debate — first-party silicon (Maia 200, Cobalt) and models are the levers management is pulling to keep AI gross margins healthier than the prior cloud cycle. Look for commentary on</w:t>
      </w:r>
      <w:r>
        <w:t xml:space="preserve"> </w:t>
      </w:r>
      <w:r>
        <w:rPr>
          <w:b/>
          <w:bCs/>
        </w:rPr>
        <w:t xml:space="preserve">Microsoft Cloud gross margin</w:t>
      </w:r>
      <w:r>
        <w:t xml:space="preserve">, guided down to</w:t>
      </w:r>
      <w:r>
        <w:t xml:space="preserve"> </w:t>
      </w:r>
      <w:r>
        <w:rPr>
          <w:b/>
          <w:bCs/>
        </w:rPr>
        <w:t xml:space="preserve">~64%</w:t>
      </w:r>
      <w:r>
        <w:t xml:space="preserve"> </w:t>
      </w:r>
      <w:r>
        <w:t xml:space="preserve">for FQ4 (from 66% in Q3) on AI investment and GitHub Copilot usage.</w:t>
      </w:r>
    </w:p>
    <w:p>
      <w:r>
        <w:pict>
          <v:rect style="width:0;height:1.5pt" o:hralign="center" o:hrstd="t" o:hr="t"/>
        </w:pict>
      </w:r>
    </w:p>
    <w:bookmarkEnd w:id="16"/>
    <w:bookmarkStart w:id="17" w:name="X62c8c74d74c780c6647b42f2150ecb8e26c1624"/>
    <w:p>
      <w:pPr>
        <w:pStyle w:val="Heading2"/>
      </w:pPr>
      <w:r>
        <w:t xml:space="preserve">7. The weak spots to monitor</w:t>
      </w:r>
    </w:p>
    <w:p>
      <w:pPr>
        <w:pStyle w:val="Compact"/>
        <w:numPr>
          <w:ilvl w:val="0"/>
          <w:numId w:val="1006"/>
        </w:numPr>
      </w:pPr>
      <w:r>
        <w:rPr>
          <w:b/>
          <w:bCs/>
        </w:rPr>
        <w:t xml:space="preserve">More Personal Computing / Windows OEM:</w:t>
      </w:r>
      <w:r>
        <w:t xml:space="preserve"> </w:t>
      </w:r>
      <w:r>
        <w:t xml:space="preserve">Guided to a sharp decline — Windows OEM revenue should decline in the high teens with roughly 6 points of impact from a prior year comparable that benefited from Windows 10 end of support, 6 points from inventory levels... and 6 points from a lower PC market as prices increase due to memory cost. Segment revenue guided to just</w:t>
      </w:r>
      <w:r>
        <w:t xml:space="preserve"> </w:t>
      </w:r>
      <m:oMath>
        <m:r>
          <m:t>11.75</m:t>
        </m:r>
        <m:r>
          <m:t>B</m:t>
        </m:r>
        <m:r>
          <m:rPr>
            <m:sty m:val="p"/>
          </m:rPr>
          <m:t>–</m:t>
        </m:r>
      </m:oMath>
      <w:r>
        <w:rPr>
          <w:b/>
          <w:bCs/>
        </w:rPr>
        <w:t xml:space="preserve">12.25B</w:t>
      </w:r>
      <w:r>
        <w:t xml:space="preserve">. Memory-price dynamics cut both ways (hurts PCs, and adds ~$25B to capex).</w:t>
      </w:r>
    </w:p>
    <w:p>
      <w:pPr>
        <w:pStyle w:val="Compact"/>
        <w:numPr>
          <w:ilvl w:val="0"/>
          <w:numId w:val="1006"/>
        </w:numPr>
      </w:pPr>
      <w:r>
        <w:rPr>
          <w:b/>
          <w:bCs/>
        </w:rPr>
        <w:t xml:space="preserve">Gaming:</w:t>
      </w:r>
      <w:r>
        <w:t xml:space="preserve"> </w:t>
      </w:r>
      <w:r>
        <w:t xml:space="preserve">Xbox content/services guided down low-teens; the segment is a sore spot. Microsoft closed its $75.4 billion Activision Blizzard acquisition three years ago, but last week cut 3,200 Xbox jobs... gaming-studio investments lost 64 cents for every dollar invested, and Xbox's operating margin is roughly 3%.</w:t>
      </w:r>
    </w:p>
    <w:p>
      <w:pPr>
        <w:pStyle w:val="Compact"/>
        <w:numPr>
          <w:ilvl w:val="0"/>
          <w:numId w:val="1006"/>
        </w:numPr>
      </w:pPr>
      <w:r>
        <w:rPr>
          <w:b/>
          <w:bCs/>
        </w:rPr>
        <w:t xml:space="preserve">One-time costs:</w:t>
      </w:r>
      <w:r>
        <w:t xml:space="preserve"> </w:t>
      </w:r>
      <w:r>
        <w:t xml:space="preserve">FQ4 guidance includes **~</w:t>
      </w:r>
      <m:oMath>
        <m:r>
          <m:t>900</m:t>
        </m:r>
        <m:r>
          <m:t>M</m:t>
        </m:r>
        <m:r>
          <m:t>i</m:t>
        </m:r>
        <m:r>
          <m:t>n</m:t>
        </m:r>
        <m:r>
          <m:t>o</m:t>
        </m:r>
        <m:r>
          <m:t>n</m:t>
        </m:r>
        <m:r>
          <m:t>e</m:t>
        </m:r>
        <m:r>
          <m:rPr>
            <m:sty m:val="p"/>
          </m:rPr>
          <m:t>−</m:t>
        </m:r>
        <m:r>
          <m:t>t</m:t>
        </m:r>
        <m:r>
          <m:t>i</m:t>
        </m:r>
        <m:r>
          <m:t>m</m:t>
        </m:r>
        <m:r>
          <m:t>e</m:t>
        </m:r>
        <m:r>
          <m:t>c</m:t>
        </m:r>
        <m:r>
          <m:t>h</m:t>
        </m:r>
        <m:r>
          <m:t>a</m:t>
        </m:r>
        <m:r>
          <m:t>r</m:t>
        </m:r>
        <m:r>
          <m:t>g</m:t>
        </m:r>
        <m:r>
          <m:t>e</m:t>
        </m:r>
        <m:r>
          <m:t>s</m:t>
        </m:r>
        <m:r>
          <m:rPr>
            <m:sty m:val="p"/>
          </m:rPr>
          <m:t>*</m:t>
        </m:r>
        <m:r>
          <m:rPr>
            <m:sty m:val="p"/>
          </m:rPr>
          <m:t>*</m:t>
        </m:r>
        <m:r>
          <m:t>f</m:t>
        </m:r>
        <m:r>
          <m:t>o</m:t>
        </m:r>
        <m:r>
          <m:t>r</m:t>
        </m:r>
        <m:r>
          <m:t>a</m:t>
        </m:r>
        <m:r>
          <m:t>v</m:t>
        </m:r>
        <m:r>
          <m:t>o</m:t>
        </m:r>
        <m:r>
          <m:t>l</m:t>
        </m:r>
        <m:r>
          <m:t>u</m:t>
        </m:r>
        <m:r>
          <m:t>n</m:t>
        </m:r>
        <m:r>
          <m:t>t</m:t>
        </m:r>
        <m:r>
          <m:t>a</m:t>
        </m:r>
        <m:r>
          <m:t>r</m:t>
        </m:r>
        <m:r>
          <m:t>y</m:t>
        </m:r>
        <m:r>
          <m:t>r</m:t>
        </m:r>
        <m:r>
          <m:t>e</m:t>
        </m:r>
        <m:r>
          <m:t>t</m:t>
        </m:r>
        <m:r>
          <m:t>i</m:t>
        </m:r>
        <m:r>
          <m:t>r</m:t>
        </m:r>
        <m:r>
          <m:t>e</m:t>
        </m:r>
        <m:r>
          <m:t>m</m:t>
        </m:r>
        <m:r>
          <m:t>e</m:t>
        </m:r>
        <m:r>
          <m:t>n</m:t>
        </m:r>
        <m:r>
          <m:t>t</m:t>
        </m:r>
        <m:r>
          <m:t>p</m:t>
        </m:r>
        <m:r>
          <m:t>r</m:t>
        </m:r>
        <m:r>
          <m:t>o</m:t>
        </m:r>
        <m:r>
          <m:t>g</m:t>
        </m:r>
        <m:r>
          <m:t>r</m:t>
        </m:r>
        <m:r>
          <m:t>a</m:t>
        </m:r>
        <m:r>
          <m:t>m</m:t>
        </m:r>
        <m:r>
          <m:rPr>
            <m:sty m:val="p"/>
          </m:rPr>
          <m:t>(</m:t>
        </m:r>
        <m:r>
          <m:t> </m:t>
        </m:r>
      </m:oMath>
      <w:r>
        <w:t xml:space="preserve">350M in COGS, ~$550M in opex).</w:t>
      </w:r>
    </w:p>
    <w:p>
      <w:pPr>
        <w:pStyle w:val="Compact"/>
        <w:numPr>
          <w:ilvl w:val="0"/>
          <w:numId w:val="1006"/>
        </w:numPr>
      </w:pPr>
      <w:r>
        <w:rPr>
          <w:b/>
          <w:bCs/>
        </w:rPr>
        <w:t xml:space="preserve">Bookings optics:</w:t>
      </w:r>
      <w:r>
        <w:t xml:space="preserve"> </w:t>
      </w:r>
      <w:r>
        <w:t xml:space="preserve">Commercial bookings can look lumpy — they</w:t>
      </w:r>
      <w:r>
        <w:t xml:space="preserve"> </w:t>
      </w:r>
      <w:r>
        <w:rPr>
          <w:i/>
          <w:iCs/>
        </w:rPr>
        <w:t xml:space="preserve">decreased</w:t>
      </w:r>
      <w:r>
        <w:t xml:space="preserve"> </w:t>
      </w:r>
      <w:r>
        <w:t xml:space="preserve">when including OpenAI Azure commitments last quarter (+7% ex-OpenAI). Don't over-react to the headline; focus on ex-OpenAI trend and RPO.</w:t>
      </w:r>
    </w:p>
    <w:p>
      <w:r>
        <w:pict>
          <v:rect style="width:0;height:1.5pt" o:hralign="center" o:hrstd="t" o:hr="t"/>
        </w:pict>
      </w:r>
    </w:p>
    <w:bookmarkEnd w:id="17"/>
    <w:bookmarkStart w:id="18" w:name="X74bce3fff1d6f09585102aa3c882623b4afb428"/>
    <w:p>
      <w:pPr>
        <w:pStyle w:val="Heading2"/>
      </w:pPr>
      <w:r>
        <w:t xml:space="preserve">8. FY2027 guidance — the real prize</w:t>
      </w:r>
    </w:p>
    <w:p>
      <w:pPr>
        <w:pStyle w:val="FirstParagraph"/>
      </w:pPr>
      <w:r>
        <w:t xml:space="preserve">The forward commentary may matter more than the June-quarter numbers. Management has already teed up the framework:</w:t>
      </w:r>
      <w:r>
        <w:t xml:space="preserve"> </w:t>
      </w:r>
      <w:r>
        <w:rPr>
          <w:b/>
          <w:bCs/>
        </w:rPr>
        <w:t xml:space="preserve">operating expense growth in the "mid- to high single digits,"</w:t>
      </w:r>
      <w:r>
        <w:t xml:space="preserve"> </w:t>
      </w:r>
      <w:r>
        <w:t xml:space="preserve">a</w:t>
      </w:r>
      <w:r>
        <w:t xml:space="preserve"> </w:t>
      </w:r>
      <w:r>
        <w:rPr>
          <w:b/>
          <w:bCs/>
        </w:rPr>
        <w:t xml:space="preserve">year-over-year decline in headcount</w:t>
      </w:r>
      <w:r>
        <w:t xml:space="preserve">, and — critically — we expect another year of double-digit revenue and operating income growth in FY '27.</w:t>
      </w:r>
    </w:p>
    <w:p>
      <w:pPr>
        <w:pStyle w:val="BodyText"/>
      </w:pPr>
      <w:r>
        <w:t xml:space="preserve">Bulls want confirmation that fiscal 2027 is the year capex converts to accelerating top-line and EPS growth. That's precisely the Citi thesis: Radke expects MSFT will demonstrate stronger returns with accelerating growth rates in flagship franchises like Azure and M365 CoPilot as the company moves into fiscal 2027, which would drive accelerating overall revenue and EPS growth through 2030.</w:t>
      </w:r>
    </w:p>
    <w:p>
      <w:r>
        <w:pict>
          <v:rect style="width:0;height:1.5pt" o:hralign="center" o:hrstd="t" o:hr="t"/>
        </w:pict>
      </w:r>
    </w:p>
    <w:bookmarkEnd w:id="18"/>
    <w:bookmarkStart w:id="19" w:name="Xb692f7cfe4bec17307689603b0a2f1fed19389a"/>
    <w:p>
      <w:pPr>
        <w:pStyle w:val="Heading2"/>
      </w:pPr>
      <w:r>
        <w:t xml:space="preserve">9. Analyst / valuation backdrop</w:t>
      </w:r>
    </w:p>
    <w:p>
      <w:pPr>
        <w:pStyle w:val="FirstParagraph"/>
      </w:pPr>
      <w:r>
        <w:t xml:space="preserve">Sentiment among sell-side analysts remains constructive even as targets get trimmed:</w:t>
      </w:r>
    </w:p>
    <w:p>
      <w:pPr>
        <w:pStyle w:val="Compact"/>
        <w:numPr>
          <w:ilvl w:val="0"/>
          <w:numId w:val="1007"/>
        </w:numPr>
      </w:pPr>
      <w:r>
        <w:t xml:space="preserve">Citi Research analyst Tyler Radke lowered his price target on Microsoft (MSFT) to $570 from $620 but maintained a Buy rating... Evercore ISI analysts raised their Microsoft price target to $525 from $510.</w:t>
      </w:r>
    </w:p>
    <w:p>
      <w:pPr>
        <w:pStyle w:val="Compact"/>
        <w:numPr>
          <w:ilvl w:val="0"/>
          <w:numId w:val="1007"/>
        </w:numPr>
      </w:pPr>
      <w:r>
        <w:t xml:space="preserve">Valuation is unusually undemanding for the growth: the stock trades around</w:t>
      </w:r>
      <w:r>
        <w:t xml:space="preserve"> </w:t>
      </w:r>
      <w:r>
        <w:rPr>
          <w:b/>
          <w:bCs/>
        </w:rPr>
        <w:t xml:space="preserve">~18–20x forward earnings</w:t>
      </w:r>
      <w:r>
        <w:t xml:space="preserve">, and one bull framed it as the lowest valuation multiple in several years for 18% growth. For context, Microsoft trades at a forward P/E ratio of less than 18, compared to the S&amp;P 500 as a whole at over 20.</w:t>
      </w:r>
    </w:p>
    <w:p>
      <w:r>
        <w:pict>
          <v:rect style="width:0;height:1.5pt" o:hralign="center" o:hrstd="t" o:hr="t"/>
        </w:pict>
      </w:r>
    </w:p>
    <w:bookmarkEnd w:id="19"/>
    <w:bookmarkStart w:id="20" w:name="X84333bd54c29976bf1d13ec0eda7112b4c25f5f"/>
    <w:p>
      <w:pPr>
        <w:pStyle w:val="Heading2"/>
      </w:pPr>
      <w:r>
        <w:t xml:space="preserve">Bottom line — what to watch, in priority order</w:t>
      </w:r>
    </w:p>
    <w:p>
      <w:pPr>
        <w:pStyle w:val="Compact"/>
        <w:numPr>
          <w:ilvl w:val="0"/>
          <w:numId w:val="1008"/>
        </w:numPr>
      </w:pPr>
      <w:r>
        <w:rPr>
          <w:b/>
          <w:bCs/>
        </w:rPr>
        <w:t xml:space="preserve">Azure constant-currency growth</w:t>
      </w:r>
      <w:r>
        <w:t xml:space="preserve"> </w:t>
      </w:r>
      <w:r>
        <w:t xml:space="preserve">(guide: 39–40%) and, crucially, whether management reaffirms</w:t>
      </w:r>
      <w:r>
        <w:t xml:space="preserve"> </w:t>
      </w:r>
      <w:r>
        <w:rPr>
          <w:b/>
          <w:bCs/>
        </w:rPr>
        <w:t xml:space="preserve">H2 calendar-2026 acceleration</w:t>
      </w:r>
      <w:r>
        <w:t xml:space="preserve">.</w:t>
      </w:r>
    </w:p>
    <w:p>
      <w:pPr>
        <w:pStyle w:val="Compact"/>
        <w:numPr>
          <w:ilvl w:val="0"/>
          <w:numId w:val="1008"/>
        </w:numPr>
      </w:pPr>
      <w:r>
        <w:rPr>
          <w:b/>
          <w:bCs/>
        </w:rPr>
        <w:t xml:space="preserve">CY2026 capex</w:t>
      </w:r>
      <w:r>
        <w:t xml:space="preserve"> </w:t>
      </w:r>
      <w:r>
        <w:t xml:space="preserve">(~$190B) — a</w:t>
      </w:r>
      <w:r>
        <w:t xml:space="preserve"> </w:t>
      </w:r>
      <w:r>
        <w:rPr>
          <w:i/>
          <w:iCs/>
        </w:rPr>
        <w:t xml:space="preserve">raise</w:t>
      </w:r>
      <w:r>
        <w:t xml:space="preserve"> </w:t>
      </w:r>
      <w:r>
        <w:t xml:space="preserve">is the key downside risk given the Alphabet-driven jitters; discipline or stability would reassure.</w:t>
      </w:r>
    </w:p>
    <w:p>
      <w:pPr>
        <w:pStyle w:val="Compact"/>
        <w:numPr>
          <w:ilvl w:val="0"/>
          <w:numId w:val="1008"/>
        </w:numPr>
      </w:pPr>
      <w:r>
        <w:rPr>
          <w:b/>
          <w:bCs/>
        </w:rPr>
        <w:t xml:space="preserve">FY2027 qualitative guide</w:t>
      </w:r>
      <w:r>
        <w:t xml:space="preserve"> </w:t>
      </w:r>
      <w:r>
        <w:t xml:space="preserve">— reaffirmation of double-digit revenue/operating-income growth and opex discipline.</w:t>
      </w:r>
    </w:p>
    <w:p>
      <w:pPr>
        <w:pStyle w:val="Compact"/>
        <w:numPr>
          <w:ilvl w:val="0"/>
          <w:numId w:val="1008"/>
        </w:numPr>
      </w:pPr>
      <w:r>
        <w:rPr>
          <w:b/>
          <w:bCs/>
        </w:rPr>
        <w:t xml:space="preserve">Copilot seats and AI ARR</w:t>
      </w:r>
      <w:r>
        <w:t xml:space="preserve"> </w:t>
      </w:r>
      <w:r>
        <w:t xml:space="preserve">— momentum indicators (20M+ seats, $37B+ ARR run-rate) and any evidence consumption is lifting reported revenue.</w:t>
      </w:r>
    </w:p>
    <w:p>
      <w:pPr>
        <w:pStyle w:val="Compact"/>
        <w:numPr>
          <w:ilvl w:val="0"/>
          <w:numId w:val="1008"/>
        </w:numPr>
      </w:pPr>
      <w:r>
        <w:rPr>
          <w:b/>
          <w:bCs/>
        </w:rPr>
        <w:t xml:space="preserve">Margins &amp; FCF</w:t>
      </w:r>
      <w:r>
        <w:t xml:space="preserve"> </w:t>
      </w:r>
      <w:r>
        <w:t xml:space="preserve">— Microsoft Cloud gross margin (~64% guide) and whether free cash flow stabilizes against the capex surge.</w:t>
      </w:r>
    </w:p>
    <w:p>
      <w:pPr>
        <w:pStyle w:val="FirstParagraph"/>
      </w:pPr>
      <w:r>
        <w:t xml:space="preserve">The asymmetry: expectations are low and the stock is washed out, so an in-line Azure print with a reassuring FY27/capex framing could spark a relief rally. But the market has made clear it will punish a capex guide-up or any hint that spending is running ahead of monetization. This is less about the June-quarter beat (Microsoft usually beats) and more about the</w:t>
      </w:r>
      <w:r>
        <w:t xml:space="preserve"> </w:t>
      </w:r>
      <w:r>
        <w:rPr>
          <w:b/>
          <w:bCs/>
        </w:rPr>
        <w:t xml:space="preserve">story management tells about the next fiscal year.</w:t>
      </w:r>
    </w:p>
    <w:p>
      <w:pPr>
        <w:pStyle w:val="BodyText"/>
      </w:pPr>
      <w:r>
        <w:rPr>
          <w:i/>
          <w:iCs/>
        </w:rPr>
        <w:t xml:space="preserve">This preview is for informational purposes and is not investment advice.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2026-07-29T01:49:33Z</dcterms:created>
  <dcterms:modified xsi:type="dcterms:W3CDTF">2026-07-29T01:49:33Z</dcterms:modified>
</cp:coreProperties>
</file>

<file path=docProps/custom.xml><?xml version="1.0" encoding="utf-8"?>
<Properties xmlns="http://schemas.openxmlformats.org/officeDocument/2006/custom-properties" xmlns:vt="http://schemas.openxmlformats.org/officeDocument/2006/docPropsVTypes"/>
</file>