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2fcbaec492a53c8b874ffae16c247236d1d0b3a"/>
    <w:p>
      <w:pPr>
        <w:pStyle w:val="Heading1"/>
      </w:pPr>
      <w:r>
        <w:t xml:space="preserve">Microsoft (MSFT) — FY2026 Q4 Earnings Preview</w:t>
      </w:r>
    </w:p>
    <w:p>
      <w:pPr>
        <w:pStyle w:val="FirstParagraph"/>
      </w:pPr>
      <w:r>
        <w:rPr>
          <w:b/>
          <w:bCs/>
        </w:rPr>
        <w:t xml:space="preserve">Reports:</w:t>
      </w:r>
      <w:r>
        <w:t xml:space="preserve"> </w:t>
      </w:r>
      <w:r>
        <w:t xml:space="preserve">Wednesday, July 29, 2026, after market close |</w:t>
      </w:r>
      <w:r>
        <w:t xml:space="preserve"> </w:t>
      </w:r>
      <w:r>
        <w:rPr>
          <w:b/>
          <w:bCs/>
        </w:rPr>
        <w:t xml:space="preserve">Fiscal period:</w:t>
      </w:r>
      <w:r>
        <w:t xml:space="preserve"> </w:t>
      </w:r>
      <w:r>
        <w:t xml:space="preserve">Q4 FY2026 (quarter ended June 30, 2026)</w:t>
      </w:r>
    </w:p>
    <w:bookmarkStart w:id="9" w:name="setup-into-the-print"/>
    <w:p>
      <w:pPr>
        <w:pStyle w:val="Heading2"/>
      </w:pPr>
      <w:r>
        <w:t xml:space="preserve">Setup Into the Print</w:t>
      </w:r>
    </w:p>
    <w:p>
      <w:pPr>
        <w:pStyle w:val="FirstParagraph"/>
      </w:pPr>
      <w:r>
        <w:t xml:space="preserve">Microsoft goes into this report in an unusually weak stock position for a "Big Tech" bellwether. Shares closed at $393.39 on July 28, down roughly 17% year-to-date and about 27% off their October 2025 high near $542. Microsoft has fallen 20% in 2026 and is down 24% over the past 12 months, and the stock has declined approximately 20%, a performance level rarely seen over any meaningful period of time. That drawdown has compressed the valuation meaningfully: Microsoft trades at a forward P/E ratio of less than 18, compared to the S&amp;P 500 as a whole at over 20.</w:t>
      </w:r>
    </w:p>
    <w:p>
      <w:pPr>
        <w:pStyle w:val="BodyText"/>
      </w:pPr>
      <w:r>
        <w:t xml:space="preserve">The immediate catalyst for pre-earnings jitters was Alphabet's report the day before: Microsoft shares tumbled after Alphabet hiked its 2026 capital expenditure forecast, even as the search company reported accelerating cloud growth, and Cowen analyst Derrick Wood told CNBC that if Microsoft raises capex again, based on the reaction to Google's announcement, it will probably lead to selling pressure in the stock. Wall Street consensus heading in is roughly $87.7 billion of revenue and $4.24 in EPS.</w:t>
      </w:r>
    </w:p>
    <w:bookmarkEnd w:id="9"/>
    <w:bookmarkStart w:id="10" w:name="what-happened-last-quarter-q3-fy26-recap"/>
    <w:p>
      <w:pPr>
        <w:pStyle w:val="Heading2"/>
      </w:pPr>
      <w:r>
        <w:t xml:space="preserve">What Happened Last Quarter (Q3 FY26 Recap)</w:t>
      </w:r>
    </w:p>
    <w:p>
      <w:pPr>
        <w:pStyle w:val="FirstParagraph"/>
      </w:pPr>
      <w:r>
        <w:t xml:space="preserve">Microsoft's April print was strong on the surface. Per the Q3 earnings call, it was a record third quarter powered by the continued strength of Microsoft Cloud, which exceeded $54 billion in revenue, up 29% year-over-year, and the AI business surpassed $37 billion ARR, up 123%. Segment detail:</w:t>
      </w:r>
    </w:p>
    <w:p>
      <w:pPr>
        <w:pStyle w:val="Compact"/>
        <w:numPr>
          <w:ilvl w:val="0"/>
          <w:numId w:val="1001"/>
        </w:numPr>
      </w:pPr>
      <w:r>
        <w:rPr>
          <w:b/>
          <w:bCs/>
        </w:rPr>
        <w:t xml:space="preserve">Azure</w:t>
      </w:r>
      <w:r>
        <w:t xml:space="preserve">: Revenue grew 40% and 39% in constant currency against a prior year that included accelerating growth, with results ahead of expectations as capacity was delivered earlier in the quarter.</w:t>
      </w:r>
    </w:p>
    <w:p>
      <w:pPr>
        <w:pStyle w:val="Compact"/>
        <w:numPr>
          <w:ilvl w:val="0"/>
          <w:numId w:val="1001"/>
        </w:numPr>
      </w:pPr>
      <w:r>
        <w:rPr>
          <w:b/>
          <w:bCs/>
        </w:rPr>
        <w:t xml:space="preserve">M365 Commercial Cloud / Copilot</w:t>
      </w:r>
      <w:r>
        <w:t xml:space="preserve">: Revenue increased 19% and 15% in constant currency, ahead of expectations, with strong execution and improving product quality driving accelerating M365 Copilot seat adds, paid seats now over 20 million. Broader Copilot seat growth was described as record Microsoft 365 Copilot seat adds, up 250% year-over-year, the fastest growth since launch.</w:t>
      </w:r>
    </w:p>
    <w:p>
      <w:pPr>
        <w:pStyle w:val="Compact"/>
        <w:numPr>
          <w:ilvl w:val="0"/>
          <w:numId w:val="1001"/>
        </w:numPr>
      </w:pPr>
      <w:r>
        <w:rPr>
          <w:b/>
          <w:bCs/>
        </w:rPr>
        <w:t xml:space="preserve">Backlog</w:t>
      </w:r>
      <w:r>
        <w:t xml:space="preserve">: Commercial remaining performance obligation grew 26% ex-OpenAI, and total RPO increased to $627 billion, up 99% year-over-year.</w:t>
      </w:r>
    </w:p>
    <w:p>
      <w:pPr>
        <w:pStyle w:val="Compact"/>
        <w:numPr>
          <w:ilvl w:val="0"/>
          <w:numId w:val="1001"/>
        </w:numPr>
      </w:pPr>
      <w:r>
        <w:rPr>
          <w:b/>
          <w:bCs/>
        </w:rPr>
        <w:t xml:space="preserve">Capex</w:t>
      </w:r>
      <w:r>
        <w:t xml:space="preserve">: Capital expenditures were $31.9 billion, down sequentially, with roughly two-thirds for short-lived assets like GPUs and CPUs, while free cash flow was $15.8 billion, reflecting higher capital expenditures.</w:t>
      </w:r>
    </w:p>
    <w:bookmarkEnd w:id="10"/>
    <w:bookmarkStart w:id="11" w:name="the-guidance-bar-for-q4"/>
    <w:p>
      <w:pPr>
        <w:pStyle w:val="Heading2"/>
      </w:pPr>
      <w:r>
        <w:t xml:space="preserve">The Guidance Bar for Q4</w:t>
      </w:r>
    </w:p>
    <w:p>
      <w:pPr>
        <w:pStyle w:val="FirstParagraph"/>
      </w:pPr>
      <w:r>
        <w:t xml:space="preserve">Management's Q4 guidance, given on the April call, is the benchmark investors will hold Microsoft to:</w:t>
      </w:r>
    </w:p>
    <w:p>
      <w:pPr>
        <w:pStyle w:val="Compact"/>
        <w:numPr>
          <w:ilvl w:val="0"/>
          <w:numId w:val="1002"/>
        </w:numPr>
      </w:pPr>
      <w:r>
        <w:rPr>
          <w:b/>
          <w:bCs/>
        </w:rPr>
        <w:t xml:space="preserve">Total revenue</w:t>
      </w:r>
      <w:r>
        <w:t xml:space="preserve">: $86.7 billion to $87.8 billion, growth of 13% to 15%, with accelerating commercial growth partially offset by the consumer business.</w:t>
      </w:r>
    </w:p>
    <w:p>
      <w:pPr>
        <w:pStyle w:val="Compact"/>
        <w:numPr>
          <w:ilvl w:val="0"/>
          <w:numId w:val="1002"/>
        </w:numPr>
      </w:pPr>
      <w:r>
        <w:rPr>
          <w:b/>
          <w:bCs/>
        </w:rPr>
        <w:t xml:space="preserve">Azure</w:t>
      </w:r>
      <w:r>
        <w:t xml:space="preserve">: Q4 revenue growth expected between 39% and 40% in constant currency against a strong prior-year comparable, with broad and growing customer demand continuing to exceed supply.</w:t>
      </w:r>
    </w:p>
    <w:p>
      <w:pPr>
        <w:pStyle w:val="Compact"/>
        <w:numPr>
          <w:ilvl w:val="0"/>
          <w:numId w:val="1002"/>
        </w:numPr>
      </w:pPr>
      <w:r>
        <w:rPr>
          <w:b/>
          <w:bCs/>
        </w:rPr>
        <w:t xml:space="preserve">Intelligent Cloud segment</w:t>
      </w:r>
      <w:r>
        <w:t xml:space="preserve">: revenue of $37.95 billion to $38.25 billion, growth of 27% to 28%.</w:t>
      </w:r>
    </w:p>
    <w:p>
      <w:pPr>
        <w:pStyle w:val="Compact"/>
        <w:numPr>
          <w:ilvl w:val="0"/>
          <w:numId w:val="1002"/>
        </w:numPr>
      </w:pPr>
      <w:r>
        <w:rPr>
          <w:b/>
          <w:bCs/>
        </w:rPr>
        <w:t xml:space="preserve">Productivity &amp; Business Processes</w:t>
      </w:r>
      <w:r>
        <w:t xml:space="preserve">: revenue of $37 billion to $37.3 billion, growth of 12% to 13%, with net paid Copilot seat adds expected to increase sequentially, driving continued ARPU growth.</w:t>
      </w:r>
    </w:p>
    <w:p>
      <w:pPr>
        <w:pStyle w:val="Compact"/>
        <w:numPr>
          <w:ilvl w:val="0"/>
          <w:numId w:val="1002"/>
        </w:numPr>
      </w:pPr>
      <w:r>
        <w:rPr>
          <w:b/>
          <w:bCs/>
        </w:rPr>
        <w:t xml:space="preserve">More Personal Computing</w:t>
      </w:r>
      <w:r>
        <w:t xml:space="preserve">: guided to decline, with Windows OEM revenue expected to decline in the mid- to high teens on tough Windows 10 end-of-support comps, elevated channel inventory, and memory-driven PC pricing pressure.</w:t>
      </w:r>
    </w:p>
    <w:p>
      <w:pPr>
        <w:pStyle w:val="Compact"/>
        <w:numPr>
          <w:ilvl w:val="0"/>
          <w:numId w:val="1002"/>
        </w:numPr>
      </w:pPr>
      <w:r>
        <w:rPr>
          <w:b/>
          <w:bCs/>
        </w:rPr>
        <w:t xml:space="preserve">Capex</w:t>
      </w:r>
      <w:r>
        <w:t xml:space="preserve">: CapEx spend was guided to increase to over $40 billion for the quarter, and for the full calendar year, Microsoft expects to invest roughly $190 billion in capital expenditures, including approximately $25 billion from higher component pricing, with management adding that it expects Azure growth to show modest acceleration in the second half of the calendar year compared with the first half despite remaining supply-constrained.</w:t>
      </w:r>
    </w:p>
    <w:p>
      <w:pPr>
        <w:pStyle w:val="Compact"/>
        <w:numPr>
          <w:ilvl w:val="0"/>
          <w:numId w:val="1002"/>
        </w:numPr>
      </w:pPr>
      <w:r>
        <w:rPr>
          <w:b/>
          <w:bCs/>
        </w:rPr>
        <w:t xml:space="preserve">FY27 framing</w:t>
      </w:r>
      <w:r>
        <w:t xml:space="preserve">: Management already teed up expectations for next year, saying operating expense growth will be in the mid- to high single digits and that it expects another year of double-digit revenue and operating income growth in FY27.</w:t>
      </w:r>
    </w:p>
    <w:bookmarkEnd w:id="11"/>
    <w:bookmarkStart w:id="12" w:name="key-things-to-watch-on-the-call"/>
    <w:p>
      <w:pPr>
        <w:pStyle w:val="Heading2"/>
      </w:pPr>
      <w:r>
        <w:t xml:space="preserve">Key Things to Watch on the Call</w:t>
      </w:r>
    </w:p>
    <w:p>
      <w:pPr>
        <w:pStyle w:val="FirstParagraph"/>
      </w:pPr>
      <w:r>
        <w:rPr>
          <w:b/>
          <w:bCs/>
        </w:rPr>
        <w:t xml:space="preserve">1. Capex — the single biggest swing factor.</w:t>
      </w:r>
      <w:r>
        <w:t xml:space="preserve"> </w:t>
      </w:r>
      <w:r>
        <w:t xml:space="preserve">After Alphabet's capex hike triggered a hyperscaler-wide selloff, the market is bracing for Microsoft to do the same. Analysts had already been modeling this: analysts polled by Visible Alpha expect $190.1 billion from Microsoft for the year, in line with the April guide. The bar is genuinely two-sided — a large raise could spark the same "over-investment" fear that hit Alphabet, while a number in line with or below the prior guide could offer relief. One commentator summed up the debate bluntly: on the forward view, some analysts are penciling in 20%–30% capex growth for FY2027, which implies something near $220 billion if we ballpark the midpoint.</w:t>
      </w:r>
    </w:p>
    <w:p>
      <w:pPr>
        <w:pStyle w:val="BodyText"/>
      </w:pPr>
      <w:r>
        <w:rPr>
          <w:b/>
          <w:bCs/>
        </w:rPr>
        <w:t xml:space="preserve">2. Azure growth durability and the Google comparison.</w:t>
      </w:r>
      <w:r>
        <w:t xml:space="preserve"> </w:t>
      </w:r>
      <w:r>
        <w:t xml:space="preserve">Bloomberg Intelligence has framed this as Microsoft's toughest setup of the cycle: Microsoft is expected to report earnings this week, with analyst expectations described as "really low" following a weak past quarter, and Microsoft faces a higher bar than peers given it lacks Alphabet's vertical integration advantages, with Azure cloud growth around 40% compared to Google's 82% cloud growth, meaning the company needs to show both accelerating growth rates and clearer monetization paths beyond pure cloud infrastructure. Investors will be watching closely whether Azure holds near the guided 39–40% band or shows the promised second-half acceleration.</w:t>
      </w:r>
    </w:p>
    <w:p>
      <w:pPr>
        <w:pStyle w:val="BodyText"/>
      </w:pPr>
      <w:r>
        <w:rPr>
          <w:b/>
          <w:bCs/>
        </w:rPr>
        <w:t xml:space="preserve">3. Copilot / AI monetization proof points.</w:t>
      </w:r>
      <w:r>
        <w:t xml:space="preserve"> </w:t>
      </w:r>
      <w:r>
        <w:t xml:space="preserve">With capex scrutiny intense, Microsoft needs tangible evidence that AI spend is translating into revenue — Copilot seat growth, ARPU trends, and GitHub Copilot's shift to usage-based pricing (effective June 1) are the clearest read-throughs. Management has been increasingly aggressive on positioning here: Microsoft is training its sales team to negatively compare AI products from competitors like OpenAI and Anthropic to its own offerings, with Copilot pitched on efficiency and cost-effectiveness, and separately Microsoft will replace OpenAI models with its own in certain popular products like PowerPoint and Bing — a first-party model push aimed at improving margins on AI usage.</w:t>
      </w:r>
    </w:p>
    <w:p>
      <w:pPr>
        <w:pStyle w:val="BodyText"/>
      </w:pPr>
      <w:r>
        <w:rPr>
          <w:b/>
          <w:bCs/>
        </w:rPr>
        <w:t xml:space="preserve">4. OpenAI relationship and model diversification.</w:t>
      </w:r>
      <w:r>
        <w:t xml:space="preserve"> </w:t>
      </w:r>
      <w:r>
        <w:t xml:space="preserve">On the Q3 call, management characterized the reworked OpenAI arrangement as a net positive, noting a frontier model, royalty-free with all IP rights through 2032, and CFO Amy Hood highlighting having the revenue share exist through 2030 and the predictability of that as a real positive, along with royalty-free IP with elimination of the revenue share Microsoft owed to OpenAI. Nadella has since sharpened his public rhetoric around model diversification and owning proprietary infrastructure, arguing companies relying wholly on one AI lab risk being "outsourced" — a narrative that supports Azure/Foundry's model-agnostic positioning.</w:t>
      </w:r>
    </w:p>
    <w:p>
      <w:pPr>
        <w:pStyle w:val="BodyText"/>
      </w:pPr>
      <w:r>
        <w:rPr>
          <w:b/>
          <w:bCs/>
        </w:rPr>
        <w:t xml:space="preserve">5. Capital allocation discipline / ROI skepticism.</w:t>
      </w:r>
      <w:r>
        <w:t xml:space="preserve"> </w:t>
      </w:r>
      <w:r>
        <w:t xml:space="preserve">The Xbox/Activision story has become a proxy for broader concerns about Microsoft's AI capex ROI: Microsoft cut 3,200 Xbox jobs and is selling or spinning off four game studios, with gaming-studio investments losing 64 cents for every dollar invested and Xbox's operating margin roughly 3%, implying a return on invested capital under 1% versus Microsoft's cost of capital of roughly 10%. The same piece notes the scale of the broader bet: Microsoft's capital spending including leases has surged as a share of revenue from about 14% in fiscal 2022 to roughly 50% for 2026 — a framing bears will invoke if Q4 commentary doesn't sharpen the ROI narrative.</w:t>
      </w:r>
    </w:p>
    <w:p>
      <w:pPr>
        <w:pStyle w:val="BodyText"/>
      </w:pPr>
      <w:r>
        <w:rPr>
          <w:b/>
          <w:bCs/>
        </w:rPr>
        <w:t xml:space="preserve">6. Margins.</w:t>
      </w:r>
      <w:r>
        <w:t xml:space="preserve"> </w:t>
      </w:r>
      <w:r>
        <w:t xml:space="preserve">Microsoft Cloud gross margin has been trending down (66% in Q3, guided to ~64% in Q4) as AI infrastructure investment and Copilot usage costs weigh on profitability. Watch whether efficiency gains (custom silicon Maia 200, Cobalt CPUs, model optimization) are offsetting this as management has claimed.</w:t>
      </w:r>
    </w:p>
    <w:bookmarkEnd w:id="12"/>
    <w:bookmarkStart w:id="13" w:name="analyst-sentiment-going-in"/>
    <w:p>
      <w:pPr>
        <w:pStyle w:val="Heading2"/>
      </w:pPr>
      <w:r>
        <w:t xml:space="preserve">Analyst Sentiment Going In</w:t>
      </w:r>
    </w:p>
    <w:p>
      <w:pPr>
        <w:pStyle w:val="FirstParagraph"/>
      </w:pPr>
      <w:r>
        <w:t xml:space="preserve">Despite the stock's weakness, several sell-side voices remain constructive on valuation grounds even as they flag near-term risk. Citi Research analyst Tyler Radke lowered his price target on Microsoft to $570 from $620 but maintained a Buy rating, representing 48% upside from Microsoft's close of $384.93, expecting a strong fourth-quarter earnings report driven by stronger returns with accelerating growth rates in Azure and M365 Copilot moving into fiscal 2027. Separately, Evercore ISI raised its price target to $525 from $510, though analyst Kirk Materne noted Microsoft will continue to be aggressive with AI spending and doesn't believe the report will resolve investor uncertainty about balancing free cash flow with capex. A Barron's letter also pointed to balance-sheet strength underpinning the bull case: Microsoft has a contracted backlog exceeding $620 billion, trades at a price/earnings ratio under 25, and maintains healthy profit margins.</w:t>
      </w:r>
    </w:p>
    <w:bookmarkEnd w:id="13"/>
    <w:bookmarkStart w:id="14" w:name="bottom-line"/>
    <w:p>
      <w:pPr>
        <w:pStyle w:val="Heading2"/>
      </w:pPr>
      <w:r>
        <w:t xml:space="preserve">Bottom Line</w:t>
      </w:r>
    </w:p>
    <w:p>
      <w:pPr>
        <w:pStyle w:val="FirstParagraph"/>
      </w:pPr>
      <w:r>
        <w:t xml:space="preserve">This is arguably Microsoft's highest-scrutiny print of the AI capex cycle. The fundamentals — Azure in the high-30s/40% growth range, a Copilot business scaling seats and usage rapidly, and $600B+ of contracted backlog — remain objectively strong. But the stock's ~20% YTD decline reflects genuine investor fatigue with a capex trajectory that keeps climbing (from $190B guided for CY2026, with FY27 estimates already creeping toward $220B) without commensurate, easily-quantifiable revenue proof. After Alphabet's capex-driven selloff the day before, the market's reaction function is asymmetric: a beat-and-raise on Azure/Copilot with disciplined-sounding capex commentary could spark meaningful relief given how depressed sentiment and valuation have become, whereas another capex increase without clearer ROI messaging risks extending the multiple compression seen across the hyperscaler cohort this earnings season.</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2026-07-29T01:50:05Z</dcterms:created>
  <dcterms:modified xsi:type="dcterms:W3CDTF">2026-07-29T01:50:05Z</dcterms:modified>
</cp:coreProperties>
</file>

<file path=docProps/custom.xml><?xml version="1.0" encoding="utf-8"?>
<Properties xmlns="http://schemas.openxmlformats.org/officeDocument/2006/custom-properties" xmlns:vt="http://schemas.openxmlformats.org/officeDocument/2006/docPropsVTypes"/>
</file>