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~$88.15B vs. cons $87.67B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constant-currency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~41.0% vs. cons 40.0%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~$91.8B vs. cons $91.45B (FY2027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Azure constant-currency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~41.5% vs. cons 41.0% (FY2027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~$220B vs. cons $220B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(FADE)</w:t>
            </w:r>
          </w:p>
        </w:tc>
        <w:tc>
          <w:tcPr/>
          <w:p>
            <w:pPr>
              <w:pStyle w:val="Compact"/>
            </w:pPr>
            <w:r>
              <w:t xml:space="preserve">The initial Azure beat and relief from no material capex increase support day one, but roughly $220B of FY2027 capex keeps depreciation and free-cash-flow estimates constrained. Modest EPS revisions provide limited out-period upside, causing part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2026-07-29T01:50:03Z</dcterms:created>
  <dcterms:modified xsi:type="dcterms:W3CDTF">2026-07-29T01:50:03Z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